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b/>
          <w:sz w:val="24"/>
        </w:rPr>
        <w:t>3GPP TSG-SA5 Meeting #146Bis-e</w:t>
      </w:r>
      <w:r>
        <w:rPr>
          <w:b/>
          <w:i/>
          <w:sz w:val="24"/>
        </w:rPr>
        <w:t xml:space="preserve"> </w:t>
      </w:r>
      <w:r>
        <w:rPr>
          <w:b/>
          <w:i/>
          <w:sz w:val="28"/>
        </w:rPr>
        <w:tab/>
      </w:r>
      <w:r>
        <w:rPr>
          <w:b/>
          <w:i/>
          <w:sz w:val="28"/>
        </w:rPr>
        <w:t>S5-23</w:t>
      </w:r>
      <w:r>
        <w:rPr>
          <w:rFonts w:hint="eastAsia" w:eastAsia="宋体"/>
          <w:b/>
          <w:i/>
          <w:sz w:val="28"/>
          <w:lang w:val="en-US" w:eastAsia="zh-CN"/>
        </w:rPr>
        <w:t>1089</w:t>
      </w:r>
    </w:p>
    <w:p>
      <w:pPr>
        <w:pStyle w:val="61"/>
        <w:rPr>
          <w:sz w:val="22"/>
          <w:szCs w:val="22"/>
        </w:rPr>
      </w:pPr>
      <w:r>
        <w:rPr>
          <w:sz w:val="24"/>
        </w:rPr>
        <w:t>Electronic meeting, 16 - 19 January 2023</w:t>
      </w:r>
    </w:p>
    <w:p>
      <w:pPr>
        <w:pStyle w:val="61"/>
        <w:pBdr>
          <w:bottom w:val="single" w:color="auto" w:sz="4" w:space="1"/>
        </w:pBdr>
        <w:tabs>
          <w:tab w:val="right" w:pos="9638"/>
        </w:tabs>
        <w:rPr>
          <w:rFonts w:eastAsia="Batang" w:cs="Arial"/>
          <w:sz w:val="20"/>
          <w:lang w:eastAsia="zh-CN"/>
        </w:rPr>
      </w:pPr>
      <w:r>
        <w:rPr>
          <w:sz w:val="20"/>
        </w:rPr>
        <w:tab/>
      </w:r>
    </w:p>
    <w:p>
      <w:pPr>
        <w:pStyle w:val="61"/>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Huawei, AsiaInfo, CATT, ZTE, China Unicom</w:t>
      </w:r>
    </w:p>
    <w:p>
      <w:pPr>
        <w:tabs>
          <w:tab w:val="left" w:pos="2127"/>
        </w:tabs>
        <w:overflowPunct/>
        <w:autoSpaceDE/>
        <w:autoSpaceDN/>
        <w:adjustRightInd/>
        <w:spacing w:after="0"/>
        <w:ind w:left="2127" w:hanging="2127"/>
        <w:jc w:val="both"/>
        <w:textAlignment w:val="auto"/>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autonomous network levels</w:t>
      </w:r>
      <w:r>
        <w:rPr>
          <w:rFonts w:ascii="Arial" w:hAnsi="Arial" w:eastAsia="Batang" w:cs="Arial"/>
          <w:b/>
          <w:sz w:val="24"/>
          <w:szCs w:val="24"/>
          <w:lang w:eastAsia="zh-CN"/>
        </w:rPr>
        <w:t xml:space="preserve"> </w:t>
      </w:r>
      <w:r>
        <w:rPr>
          <w:rFonts w:hint="default" w:ascii="Arial" w:hAnsi="Arial" w:eastAsia="Batang" w:cs="Arial"/>
          <w:b/>
          <w:sz w:val="24"/>
          <w:szCs w:val="24"/>
          <w:lang w:val="en-US" w:eastAsia="zh-CN"/>
        </w:rPr>
        <w:t>phase 2</w:t>
      </w:r>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hint="eastAsia"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6.2.1</w:t>
      </w:r>
    </w:p>
    <w:p>
      <w:pPr>
        <w:rPr>
          <w:rFonts w:eastAsia="Batang"/>
          <w:lang w:val="en-US" w:eastAsia="zh-CN"/>
        </w:rPr>
      </w:pPr>
    </w:p>
    <w:p>
      <w:pPr>
        <w:pStyle w:val="11"/>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1"/>
      </w:pPr>
      <w:r>
        <w:t>Title:</w:t>
      </w:r>
      <w:r>
        <w:rPr>
          <w:rFonts w:hint="eastAsia" w:eastAsia="宋体"/>
          <w:lang w:val="en-US" w:eastAsia="zh-CN"/>
        </w:rPr>
        <w:t xml:space="preserve"> Enhancement of autonomous network levels</w:t>
      </w:r>
      <w:r>
        <w:tab/>
      </w:r>
    </w:p>
    <w:p>
      <w:pPr>
        <w:pStyle w:val="11"/>
      </w:pPr>
      <w:r>
        <w:t>Acronym:</w:t>
      </w:r>
      <w:r>
        <w:rPr>
          <w:rFonts w:hint="eastAsia" w:eastAsia="宋体"/>
          <w:lang w:val="en-US" w:eastAsia="zh-CN"/>
        </w:rPr>
        <w:t xml:space="preserve"> ANL</w:t>
      </w:r>
      <w:r>
        <w:rPr>
          <w:rFonts w:eastAsia="宋体"/>
          <w:lang w:val="en-US" w:eastAsia="zh-CN"/>
        </w:rPr>
        <w:t>_Ph2</w:t>
      </w:r>
      <w:r>
        <w:tab/>
      </w:r>
    </w:p>
    <w:p>
      <w:pPr>
        <w:pStyle w:val="11"/>
      </w:pPr>
      <w:r>
        <w:t>Unique identifier:</w:t>
      </w:r>
      <w:r>
        <w:tab/>
      </w:r>
    </w:p>
    <w:p>
      <w:pPr>
        <w:pStyle w:val="11"/>
        <w:rPr>
          <w:rFonts w:eastAsia="宋体"/>
          <w:lang w:val="en-US" w:eastAsia="zh-CN"/>
        </w:rPr>
      </w:pPr>
      <w:r>
        <w:t>Potential target Release:</w:t>
      </w:r>
      <w:r>
        <w:rPr>
          <w:rFonts w:hint="eastAsia" w:eastAsia="宋体"/>
          <w:lang w:val="en-US" w:eastAsia="zh-CN"/>
        </w:rPr>
        <w:t xml:space="preserve"> Rel-18</w:t>
      </w:r>
    </w:p>
    <w:p>
      <w:pPr>
        <w:pStyle w:val="3"/>
      </w:pPr>
      <w:r>
        <w:t>1</w:t>
      </w:r>
      <w:r>
        <w:tab/>
      </w:r>
      <w:r>
        <w:t>Impacts</w:t>
      </w:r>
    </w:p>
    <w:p>
      <w:pPr>
        <w:pStyle w:val="127"/>
      </w:pPr>
      <w:r>
        <w:t>{For Normative work, identify the anticipated impacts. For a Study, identify the scope of the study}</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94"/>
            </w:pPr>
            <w:r>
              <w:t>Affects:</w:t>
            </w:r>
          </w:p>
        </w:tc>
        <w:tc>
          <w:tcPr>
            <w:tcW w:w="1275" w:type="dxa"/>
            <w:tcBorders>
              <w:left w:val="nil"/>
              <w:bottom w:val="single" w:color="auto" w:sz="12" w:space="0"/>
            </w:tcBorders>
            <w:shd w:val="clear" w:color="auto" w:fill="E0E0E0"/>
          </w:tcPr>
          <w:p>
            <w:pPr>
              <w:pStyle w:val="94"/>
            </w:pPr>
            <w:r>
              <w:t>UICC apps</w:t>
            </w:r>
          </w:p>
        </w:tc>
        <w:tc>
          <w:tcPr>
            <w:tcW w:w="1037" w:type="dxa"/>
            <w:tcBorders>
              <w:bottom w:val="single" w:color="auto" w:sz="12" w:space="0"/>
            </w:tcBorders>
            <w:shd w:val="clear" w:color="auto" w:fill="E0E0E0"/>
          </w:tcPr>
          <w:p>
            <w:pPr>
              <w:pStyle w:val="94"/>
            </w:pPr>
            <w:r>
              <w:t>ME</w:t>
            </w:r>
          </w:p>
        </w:tc>
        <w:tc>
          <w:tcPr>
            <w:tcW w:w="850" w:type="dxa"/>
            <w:tcBorders>
              <w:bottom w:val="single" w:color="auto" w:sz="12" w:space="0"/>
            </w:tcBorders>
            <w:shd w:val="clear" w:color="auto" w:fill="E0E0E0"/>
          </w:tcPr>
          <w:p>
            <w:pPr>
              <w:pStyle w:val="94"/>
            </w:pPr>
            <w:r>
              <w:t>AN</w:t>
            </w:r>
          </w:p>
        </w:tc>
        <w:tc>
          <w:tcPr>
            <w:tcW w:w="851" w:type="dxa"/>
            <w:tcBorders>
              <w:bottom w:val="single" w:color="auto" w:sz="12" w:space="0"/>
            </w:tcBorders>
            <w:shd w:val="clear" w:color="auto" w:fill="E0E0E0"/>
          </w:tcPr>
          <w:p>
            <w:pPr>
              <w:pStyle w:val="94"/>
            </w:pPr>
            <w:r>
              <w:t>CN</w:t>
            </w:r>
          </w:p>
        </w:tc>
        <w:tc>
          <w:tcPr>
            <w:tcW w:w="1752" w:type="dxa"/>
            <w:tcBorders>
              <w:bottom w:val="single" w:color="auto" w:sz="12" w:space="0"/>
            </w:tcBorders>
            <w:shd w:val="clear" w:color="auto" w:fill="E0E0E0"/>
          </w:tcPr>
          <w:p>
            <w:pPr>
              <w:pStyle w:val="9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94"/>
            </w:pPr>
            <w:r>
              <w:t>Yes</w:t>
            </w:r>
          </w:p>
        </w:tc>
        <w:tc>
          <w:tcPr>
            <w:tcW w:w="1275" w:type="dxa"/>
            <w:tcBorders>
              <w:top w:val="nil"/>
              <w:left w:val="nil"/>
            </w:tcBorders>
          </w:tcPr>
          <w:p>
            <w:pPr>
              <w:pStyle w:val="95"/>
            </w:pPr>
          </w:p>
        </w:tc>
        <w:tc>
          <w:tcPr>
            <w:tcW w:w="1037" w:type="dxa"/>
            <w:tcBorders>
              <w:top w:val="nil"/>
            </w:tcBorders>
          </w:tcPr>
          <w:p>
            <w:pPr>
              <w:pStyle w:val="95"/>
            </w:pPr>
          </w:p>
        </w:tc>
        <w:tc>
          <w:tcPr>
            <w:tcW w:w="850" w:type="dxa"/>
            <w:tcBorders>
              <w:top w:val="nil"/>
            </w:tcBorders>
          </w:tcPr>
          <w:p>
            <w:pPr>
              <w:pStyle w:val="95"/>
            </w:pPr>
            <w:r>
              <w:t>X</w:t>
            </w:r>
          </w:p>
        </w:tc>
        <w:tc>
          <w:tcPr>
            <w:tcW w:w="851" w:type="dxa"/>
            <w:tcBorders>
              <w:top w:val="nil"/>
            </w:tcBorders>
          </w:tcPr>
          <w:p>
            <w:pPr>
              <w:pStyle w:val="95"/>
            </w:pPr>
            <w:r>
              <w:t>X</w:t>
            </w:r>
          </w:p>
        </w:tc>
        <w:tc>
          <w:tcPr>
            <w:tcW w:w="1752" w:type="dxa"/>
            <w:tcBorders>
              <w:top w:val="nil"/>
            </w:tcBorders>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94"/>
            </w:pPr>
            <w:r>
              <w:t>No</w:t>
            </w:r>
          </w:p>
        </w:tc>
        <w:tc>
          <w:tcPr>
            <w:tcW w:w="1275" w:type="dxa"/>
            <w:tcBorders>
              <w:left w:val="nil"/>
            </w:tcBorders>
          </w:tcPr>
          <w:p>
            <w:pPr>
              <w:pStyle w:val="95"/>
            </w:pPr>
            <w:r>
              <w:t>X</w:t>
            </w:r>
          </w:p>
        </w:tc>
        <w:tc>
          <w:tcPr>
            <w:tcW w:w="1037" w:type="dxa"/>
          </w:tcPr>
          <w:p>
            <w:pPr>
              <w:pStyle w:val="95"/>
            </w:pPr>
            <w:r>
              <w:t>X</w:t>
            </w:r>
          </w:p>
        </w:tc>
        <w:tc>
          <w:tcPr>
            <w:tcW w:w="850" w:type="dxa"/>
          </w:tcPr>
          <w:p>
            <w:pPr>
              <w:pStyle w:val="95"/>
            </w:pPr>
          </w:p>
        </w:tc>
        <w:tc>
          <w:tcPr>
            <w:tcW w:w="851" w:type="dxa"/>
          </w:tcPr>
          <w:p>
            <w:pPr>
              <w:pStyle w:val="95"/>
            </w:pPr>
          </w:p>
        </w:tc>
        <w:tc>
          <w:tcPr>
            <w:tcW w:w="1752" w:type="dxa"/>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94"/>
            </w:pPr>
            <w:r>
              <w:t>Don't know</w:t>
            </w:r>
          </w:p>
        </w:tc>
        <w:tc>
          <w:tcPr>
            <w:tcW w:w="1275" w:type="dxa"/>
            <w:tcBorders>
              <w:left w:val="nil"/>
            </w:tcBorders>
          </w:tcPr>
          <w:p>
            <w:pPr>
              <w:pStyle w:val="95"/>
            </w:pPr>
          </w:p>
        </w:tc>
        <w:tc>
          <w:tcPr>
            <w:tcW w:w="1037" w:type="dxa"/>
          </w:tcPr>
          <w:p>
            <w:pPr>
              <w:pStyle w:val="95"/>
            </w:pPr>
          </w:p>
        </w:tc>
        <w:tc>
          <w:tcPr>
            <w:tcW w:w="850" w:type="dxa"/>
          </w:tcPr>
          <w:p>
            <w:pPr>
              <w:pStyle w:val="95"/>
            </w:pPr>
          </w:p>
        </w:tc>
        <w:tc>
          <w:tcPr>
            <w:tcW w:w="851" w:type="dxa"/>
          </w:tcPr>
          <w:p>
            <w:pPr>
              <w:pStyle w:val="95"/>
            </w:pPr>
          </w:p>
        </w:tc>
        <w:tc>
          <w:tcPr>
            <w:tcW w:w="1752" w:type="dxa"/>
          </w:tcPr>
          <w:p>
            <w:pPr>
              <w:pStyle w:val="95"/>
            </w:pPr>
            <w:r>
              <w:t>X</w:t>
            </w:r>
          </w:p>
        </w:tc>
      </w:tr>
    </w:tbl>
    <w:p/>
    <w:p>
      <w:pPr>
        <w:pStyle w:val="3"/>
      </w:pPr>
      <w:r>
        <w:t>2</w:t>
      </w:r>
      <w:r>
        <w:tab/>
      </w:r>
      <w:r>
        <w:t>Classification of the Work Item and linked work items</w:t>
      </w:r>
    </w:p>
    <w:p>
      <w:pPr>
        <w:pStyle w:val="4"/>
      </w:pPr>
      <w:r>
        <w:t>2.1</w:t>
      </w:r>
      <w:r>
        <w:tab/>
      </w:r>
      <w:r>
        <w:t>Primary classification</w:t>
      </w:r>
    </w:p>
    <w:p>
      <w:pPr>
        <w:pStyle w:val="5"/>
      </w:pPr>
      <w:r>
        <w:t>This work item is a …</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r>
              <w:t>X</w:t>
            </w:r>
          </w:p>
        </w:tc>
        <w:tc>
          <w:tcPr>
            <w:tcW w:w="2917" w:type="dxa"/>
            <w:shd w:val="clear" w:color="auto" w:fill="E0E0E0"/>
          </w:tcPr>
          <w:p>
            <w:pPr>
              <w:pStyle w:val="94"/>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p>
        </w:tc>
        <w:tc>
          <w:tcPr>
            <w:tcW w:w="2917" w:type="dxa"/>
            <w:shd w:val="clear" w:color="auto" w:fill="E0E0E0"/>
            <w:tcMar>
              <w:left w:w="227" w:type="dxa"/>
            </w:tcMar>
          </w:tcPr>
          <w:p>
            <w:pPr>
              <w:pStyle w:val="9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p>
        </w:tc>
        <w:tc>
          <w:tcPr>
            <w:tcW w:w="2917" w:type="dxa"/>
            <w:shd w:val="clear" w:color="auto" w:fill="E0E0E0"/>
            <w:tcMar>
              <w:left w:w="397" w:type="dxa"/>
            </w:tcMar>
          </w:tcPr>
          <w:p>
            <w:pPr>
              <w:pStyle w:val="9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p>
        </w:tc>
        <w:tc>
          <w:tcPr>
            <w:tcW w:w="2917" w:type="dxa"/>
            <w:shd w:val="clear" w:color="auto" w:fill="E0E0E0"/>
          </w:tcPr>
          <w:p>
            <w:pPr>
              <w:pStyle w:val="94"/>
              <w:ind w:right="-99"/>
              <w:jc w:val="left"/>
              <w:rPr>
                <w:color w:val="0000FF"/>
              </w:rPr>
            </w:pPr>
            <w:r>
              <w:rPr>
                <w:color w:val="0000FF"/>
                <w:sz w:val="20"/>
              </w:rPr>
              <w:t>Study Item</w:t>
            </w:r>
          </w:p>
        </w:tc>
      </w:tr>
    </w:tbl>
    <w:p>
      <w:pPr>
        <w:ind w:right="-99"/>
        <w:rPr>
          <w:b/>
        </w:rPr>
      </w:pPr>
    </w:p>
    <w:p>
      <w:pPr>
        <w:pStyle w:val="4"/>
      </w:pPr>
      <w:r>
        <w:t>2.2</w:t>
      </w:r>
      <w:r>
        <w:tab/>
      </w:r>
      <w:r>
        <w:t>Parent Work Item</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9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94"/>
              <w:ind w:right="-99"/>
              <w:jc w:val="left"/>
            </w:pPr>
            <w:r>
              <w:t>Acronym</w:t>
            </w:r>
          </w:p>
        </w:tc>
        <w:tc>
          <w:tcPr>
            <w:tcW w:w="1101" w:type="dxa"/>
            <w:shd w:val="clear" w:color="auto" w:fill="E0E0E0"/>
          </w:tcPr>
          <w:p>
            <w:pPr>
              <w:pStyle w:val="94"/>
              <w:ind w:right="-99"/>
              <w:jc w:val="left"/>
            </w:pPr>
            <w:r>
              <w:t>Working Group</w:t>
            </w:r>
          </w:p>
        </w:tc>
        <w:tc>
          <w:tcPr>
            <w:tcW w:w="1101" w:type="dxa"/>
            <w:shd w:val="clear" w:color="auto" w:fill="E0E0E0"/>
          </w:tcPr>
          <w:p>
            <w:pPr>
              <w:pStyle w:val="94"/>
              <w:ind w:right="-99"/>
              <w:jc w:val="left"/>
            </w:pPr>
            <w:r>
              <w:t>Unique ID</w:t>
            </w:r>
          </w:p>
        </w:tc>
        <w:tc>
          <w:tcPr>
            <w:tcW w:w="6010" w:type="dxa"/>
            <w:shd w:val="clear" w:color="auto" w:fill="E0E0E0"/>
          </w:tcPr>
          <w:p>
            <w:pPr>
              <w:pStyle w:val="9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p>
        </w:tc>
        <w:tc>
          <w:tcPr>
            <w:tcW w:w="1101" w:type="dxa"/>
          </w:tcPr>
          <w:p>
            <w:pPr>
              <w:pStyle w:val="92"/>
            </w:pPr>
          </w:p>
        </w:tc>
        <w:tc>
          <w:tcPr>
            <w:tcW w:w="1101" w:type="dxa"/>
          </w:tcPr>
          <w:p>
            <w:pPr>
              <w:pStyle w:val="92"/>
            </w:pPr>
          </w:p>
        </w:tc>
        <w:tc>
          <w:tcPr>
            <w:tcW w:w="6010" w:type="dxa"/>
          </w:tcPr>
          <w:p>
            <w:pPr>
              <w:pStyle w:val="92"/>
            </w:pPr>
          </w:p>
        </w:tc>
      </w:tr>
    </w:tbl>
    <w:p/>
    <w:p>
      <w:pPr>
        <w:pStyle w:val="5"/>
      </w:pPr>
      <w:r>
        <w:t>2.3</w:t>
      </w:r>
      <w:r>
        <w:tab/>
      </w:r>
      <w:r>
        <w:t>Other related Work Items and dependencies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94"/>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94"/>
            </w:pPr>
            <w:r>
              <w:t>Unique ID</w:t>
            </w:r>
          </w:p>
        </w:tc>
        <w:tc>
          <w:tcPr>
            <w:tcW w:w="3326" w:type="dxa"/>
            <w:shd w:val="clear" w:color="auto" w:fill="E0E0E0"/>
          </w:tcPr>
          <w:p>
            <w:pPr>
              <w:pStyle w:val="94"/>
            </w:pPr>
            <w:r>
              <w:t>Title</w:t>
            </w:r>
          </w:p>
        </w:tc>
        <w:tc>
          <w:tcPr>
            <w:tcW w:w="5099" w:type="dxa"/>
            <w:shd w:val="clear" w:color="auto" w:fill="E0E0E0"/>
          </w:tcPr>
          <w:p>
            <w:pPr>
              <w:pStyle w:val="94"/>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880027</w:t>
            </w:r>
          </w:p>
        </w:tc>
        <w:tc>
          <w:tcPr>
            <w:tcW w:w="3326" w:type="dxa"/>
          </w:tcPr>
          <w:p>
            <w:pPr>
              <w:pStyle w:val="92"/>
            </w:pPr>
            <w:r>
              <w:rPr>
                <w:rFonts w:hint="eastAsia"/>
              </w:rPr>
              <w:t>Autonomous network levels</w:t>
            </w:r>
          </w:p>
        </w:tc>
        <w:tc>
          <w:tcPr>
            <w:tcW w:w="5099" w:type="dxa"/>
          </w:tcPr>
          <w:p>
            <w:pPr>
              <w:pStyle w:val="127"/>
              <w:rPr>
                <w:rFonts w:eastAsia="宋体"/>
                <w:lang w:val="en-US" w:eastAsia="zh-CN"/>
              </w:rPr>
            </w:pPr>
            <w:r>
              <w:rPr>
                <w:rFonts w:hint="eastAsia" w:ascii="Arial" w:hAnsi="Arial" w:eastAsia="宋体"/>
                <w:i w:val="0"/>
                <w:iCs/>
                <w:sz w:val="18"/>
                <w:lang w:val="en-US" w:eastAsia="zh-CN"/>
              </w:rPr>
              <w:t>Work Item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940042</w:t>
            </w:r>
          </w:p>
        </w:tc>
        <w:tc>
          <w:tcPr>
            <w:tcW w:w="3326" w:type="dxa"/>
          </w:tcPr>
          <w:p>
            <w:pPr>
              <w:pStyle w:val="92"/>
            </w:pPr>
            <w:r>
              <w:rPr>
                <w:rFonts w:hint="eastAsia"/>
              </w:rPr>
              <w:t>Study on enhancement of autonomous network levels</w:t>
            </w:r>
          </w:p>
        </w:tc>
        <w:tc>
          <w:tcPr>
            <w:tcW w:w="5099" w:type="dxa"/>
          </w:tcPr>
          <w:p>
            <w:pPr>
              <w:pStyle w:val="127"/>
              <w:rPr>
                <w:i w:val="0"/>
                <w:iCs/>
              </w:rPr>
            </w:pPr>
            <w:r>
              <w:rPr>
                <w:rFonts w:ascii="Arial" w:hAnsi="Arial" w:eastAsia="宋体"/>
                <w:i w:val="0"/>
                <w:iCs/>
                <w:sz w:val="18"/>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940041</w:t>
            </w:r>
          </w:p>
        </w:tc>
        <w:tc>
          <w:tcPr>
            <w:tcW w:w="3326" w:type="dxa"/>
          </w:tcPr>
          <w:p>
            <w:pPr>
              <w:pStyle w:val="92"/>
            </w:pPr>
            <w:r>
              <w:rPr>
                <w:rFonts w:hint="eastAsia"/>
              </w:rPr>
              <w:t>Study on evaluation of autonomous network levels</w:t>
            </w:r>
          </w:p>
        </w:tc>
        <w:tc>
          <w:tcPr>
            <w:tcW w:w="5099" w:type="dxa"/>
          </w:tcPr>
          <w:p>
            <w:pPr>
              <w:pStyle w:val="127"/>
              <w:rPr>
                <w:i w:val="0"/>
                <w:iCs/>
              </w:rPr>
            </w:pPr>
            <w:r>
              <w:rPr>
                <w:rFonts w:ascii="Arial" w:hAnsi="Arial" w:eastAsia="宋体"/>
                <w:i w:val="0"/>
                <w:iCs/>
                <w:sz w:val="18"/>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970031</w:t>
            </w:r>
          </w:p>
        </w:tc>
        <w:tc>
          <w:tcPr>
            <w:tcW w:w="3326" w:type="dxa"/>
          </w:tcPr>
          <w:p>
            <w:pPr>
              <w:pStyle w:val="92"/>
            </w:pPr>
            <w:r>
              <w:rPr>
                <w:rFonts w:hint="eastAsia"/>
              </w:rPr>
              <w:t>Enhancement of Management Data Analytics phase 2</w:t>
            </w:r>
          </w:p>
        </w:tc>
        <w:tc>
          <w:tcPr>
            <w:tcW w:w="5099" w:type="dxa"/>
          </w:tcPr>
          <w:p>
            <w:pPr>
              <w:pStyle w:val="127"/>
              <w:rPr>
                <w:rFonts w:ascii="Arial" w:hAnsi="Arial" w:eastAsia="宋体"/>
                <w:i w:val="0"/>
                <w:iCs/>
                <w:sz w:val="18"/>
              </w:rPr>
            </w:pPr>
            <w:r>
              <w:rPr>
                <w:rFonts w:hint="eastAsia" w:ascii="Arial" w:hAnsi="Arial" w:eastAsia="宋体"/>
                <w:i w:val="0"/>
                <w:iCs/>
                <w:sz w:val="18"/>
              </w:rPr>
              <w:t>Management data analytics service related features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940046</w:t>
            </w:r>
          </w:p>
        </w:tc>
        <w:tc>
          <w:tcPr>
            <w:tcW w:w="3326" w:type="dxa"/>
          </w:tcPr>
          <w:p>
            <w:pPr>
              <w:pStyle w:val="92"/>
            </w:pPr>
            <w:r>
              <w:rPr>
                <w:rFonts w:hint="eastAsia"/>
              </w:rPr>
              <w:t xml:space="preserve">Study on intent-driven management for network slicing </w:t>
            </w:r>
          </w:p>
        </w:tc>
        <w:tc>
          <w:tcPr>
            <w:tcW w:w="5099" w:type="dxa"/>
          </w:tcPr>
          <w:p>
            <w:pPr>
              <w:pStyle w:val="127"/>
              <w:rPr>
                <w:rFonts w:ascii="Arial" w:hAnsi="Arial" w:eastAsia="宋体"/>
                <w:i w:val="0"/>
                <w:iCs/>
                <w:sz w:val="18"/>
                <w:lang w:val="en-US" w:eastAsia="zh-CN"/>
              </w:rPr>
            </w:pPr>
            <w:r>
              <w:rPr>
                <w:rFonts w:hint="eastAsia" w:ascii="Arial" w:hAnsi="Arial" w:eastAsia="宋体"/>
                <w:i w:val="0"/>
                <w:iCs/>
                <w:sz w:val="18"/>
                <w:lang w:val="en-US" w:eastAsia="zh-CN"/>
              </w:rPr>
              <w:t xml:space="preserve">Intent-driven management service </w:t>
            </w:r>
            <w:r>
              <w:rPr>
                <w:rFonts w:hint="eastAsia" w:ascii="Arial" w:hAnsi="Arial" w:eastAsia="宋体"/>
                <w:i w:val="0"/>
                <w:iCs/>
                <w:sz w:val="18"/>
              </w:rPr>
              <w:t>related features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940039</w:t>
            </w:r>
          </w:p>
        </w:tc>
        <w:tc>
          <w:tcPr>
            <w:tcW w:w="3326" w:type="dxa"/>
          </w:tcPr>
          <w:p>
            <w:pPr>
              <w:pStyle w:val="92"/>
            </w:pPr>
            <w:r>
              <w:rPr>
                <w:rFonts w:hint="eastAsia"/>
              </w:rPr>
              <w:t xml:space="preserve">Study on AI/ML management </w:t>
            </w:r>
          </w:p>
        </w:tc>
        <w:tc>
          <w:tcPr>
            <w:tcW w:w="5099" w:type="dxa"/>
          </w:tcPr>
          <w:p>
            <w:pPr>
              <w:pStyle w:val="127"/>
              <w:rPr>
                <w:rFonts w:ascii="Arial" w:hAnsi="Arial" w:eastAsia="宋体"/>
                <w:i w:val="0"/>
                <w:iCs/>
                <w:sz w:val="18"/>
                <w:lang w:val="en-US" w:eastAsia="zh-CN"/>
              </w:rPr>
            </w:pPr>
            <w:r>
              <w:rPr>
                <w:rFonts w:hint="eastAsia" w:ascii="Arial" w:hAnsi="Arial" w:eastAsia="宋体"/>
                <w:i w:val="0"/>
                <w:iCs/>
                <w:sz w:val="18"/>
              </w:rPr>
              <w:t>AI/ML management</w:t>
            </w:r>
            <w:r>
              <w:rPr>
                <w:rFonts w:hint="eastAsia" w:ascii="Arial" w:hAnsi="Arial" w:eastAsia="宋体"/>
                <w:i w:val="0"/>
                <w:iCs/>
                <w:sz w:val="18"/>
                <w:lang w:val="en-US" w:eastAsia="zh-CN"/>
              </w:rPr>
              <w:t xml:space="preserve"> service </w:t>
            </w:r>
            <w:r>
              <w:rPr>
                <w:rFonts w:hint="eastAsia" w:ascii="Arial" w:hAnsi="Arial" w:eastAsia="宋体"/>
                <w:i w:val="0"/>
                <w:iCs/>
                <w:sz w:val="18"/>
              </w:rPr>
              <w:t>related features</w:t>
            </w:r>
          </w:p>
        </w:tc>
      </w:tr>
    </w:tbl>
    <w:p>
      <w:pPr>
        <w:pStyle w:val="104"/>
      </w:pPr>
    </w:p>
    <w:p>
      <w:pPr>
        <w:pStyle w:val="3"/>
      </w:pPr>
      <w:r>
        <w:t>3</w:t>
      </w:r>
      <w:r>
        <w:tab/>
      </w:r>
      <w:r>
        <w:t>Justification</w:t>
      </w:r>
    </w:p>
    <w:p>
      <w:r>
        <w:t>Autonomous network levels (ANL) is being addressed in normative work (Ref. WID on autonomous network levels, UID 880027) in SA5 in Rel-17. The concepts, framework, use cases, requirements and generic autonomous network levels are defined in TS 28.100.</w:t>
      </w:r>
    </w:p>
    <w:p>
      <w:pPr>
        <w:rPr>
          <w:lang w:val="en-US" w:eastAsia="zh-CN"/>
        </w:rPr>
      </w:pPr>
      <w:r>
        <w:rPr>
          <w:rFonts w:hint="eastAsia"/>
          <w:lang w:val="en-US" w:eastAsia="zh-CN"/>
        </w:rPr>
        <w:t xml:space="preserve">In Rel-17 work, generic MnS requirements and corresponding solutions for network optimization, RAN NE deployment and fault management are specified mainly for lower levels of autonomous network, e.g. level 1 to level 3. Enhanced generic requirements and solutions for higher autonomous network levels, e.g. those requirements for supporting the autonomy capabilities corresponding to MDA, IDMS </w:t>
      </w:r>
      <w:r>
        <w:t>are not specified</w:t>
      </w:r>
      <w:r>
        <w:rPr>
          <w:rFonts w:hint="eastAsia"/>
          <w:lang w:val="en-US" w:eastAsia="zh-CN"/>
        </w:rPr>
        <w:t>.</w:t>
      </w:r>
    </w:p>
    <w:p>
      <w:pPr>
        <w:pStyle w:val="127"/>
        <w:rPr>
          <w:i w:val="0"/>
          <w:iCs/>
        </w:rPr>
      </w:pPr>
      <w:r>
        <w:rPr>
          <w:i w:val="0"/>
          <w:iCs/>
        </w:rPr>
        <w:t xml:space="preserve">The specification in Rel-17 identifies typical scenarios related to network and service deployment, maintenance and optimization, including RAN NE deployment, fault management, radio network coverage optimization and RAN UE throughput optimization. </w:t>
      </w:r>
      <w:r>
        <w:rPr>
          <w:rFonts w:hint="default"/>
          <w:i w:val="0"/>
          <w:iCs/>
          <w:lang w:val="en-US"/>
        </w:rPr>
        <w:t>T</w:t>
      </w:r>
      <w:r>
        <w:rPr>
          <w:i w:val="0"/>
          <w:iCs/>
        </w:rPr>
        <w:t xml:space="preserve">he </w:t>
      </w:r>
      <w:r>
        <w:rPr>
          <w:rFonts w:hint="eastAsia"/>
          <w:i w:val="0"/>
          <w:iCs/>
        </w:rPr>
        <w:t>generic</w:t>
      </w:r>
      <w:r>
        <w:rPr>
          <w:rFonts w:hint="eastAsia"/>
          <w:i w:val="0"/>
          <w:iCs/>
          <w:lang w:val="en-US" w:eastAsia="zh-CN"/>
        </w:rPr>
        <w:t xml:space="preserve"> </w:t>
      </w:r>
      <w:r>
        <w:rPr>
          <w:i w:val="0"/>
          <w:iCs/>
        </w:rPr>
        <w:t xml:space="preserve">autonomous network levels for </w:t>
      </w:r>
      <w:r>
        <w:rPr>
          <w:rFonts w:hint="eastAsia"/>
          <w:i w:val="0"/>
          <w:iCs/>
        </w:rPr>
        <w:t>RAN energy saving and 5GC NF deployment</w:t>
      </w:r>
      <w:r>
        <w:rPr>
          <w:rFonts w:hint="default"/>
          <w:i w:val="0"/>
          <w:iCs/>
          <w:lang w:val="en-US"/>
        </w:rPr>
        <w:t xml:space="preserve"> are introduced and studied in Rel-18</w:t>
      </w:r>
      <w:r>
        <w:rPr>
          <w:i w:val="0"/>
          <w:iCs/>
        </w:rPr>
        <w:t xml:space="preserve">, </w:t>
      </w:r>
      <w:r>
        <w:rPr>
          <w:rFonts w:hint="default"/>
          <w:i w:val="0"/>
          <w:iCs/>
          <w:lang w:val="en-US"/>
        </w:rPr>
        <w:t>h</w:t>
      </w:r>
      <w:r>
        <w:rPr>
          <w:i w:val="0"/>
          <w:iCs/>
        </w:rPr>
        <w:t xml:space="preserve">owever, the </w:t>
      </w:r>
      <w:r>
        <w:rPr>
          <w:rFonts w:hint="eastAsia"/>
          <w:i w:val="0"/>
          <w:iCs/>
        </w:rPr>
        <w:t>generic</w:t>
      </w:r>
      <w:r>
        <w:rPr>
          <w:rFonts w:hint="eastAsia"/>
          <w:i w:val="0"/>
          <w:iCs/>
          <w:lang w:val="en-US" w:eastAsia="zh-CN"/>
        </w:rPr>
        <w:t xml:space="preserve"> </w:t>
      </w:r>
      <w:r>
        <w:rPr>
          <w:rFonts w:hint="eastAsia"/>
          <w:i w:val="0"/>
          <w:iCs/>
        </w:rPr>
        <w:t xml:space="preserve">solutions </w:t>
      </w:r>
      <w:r>
        <w:rPr>
          <w:rFonts w:hint="eastAsia"/>
          <w:i w:val="0"/>
          <w:iCs/>
          <w:lang w:val="en-US" w:eastAsia="zh-CN"/>
        </w:rPr>
        <w:t>and</w:t>
      </w:r>
      <w:r>
        <w:rPr>
          <w:rFonts w:hint="eastAsia"/>
          <w:i w:val="0"/>
          <w:iCs/>
        </w:rPr>
        <w:t xml:space="preserve"> requirements</w:t>
      </w:r>
      <w:r>
        <w:rPr>
          <w:rFonts w:hint="eastAsia"/>
          <w:i w:val="0"/>
          <w:iCs/>
          <w:lang w:val="en-US" w:eastAsia="zh-CN"/>
        </w:rPr>
        <w:t xml:space="preserve"> for supporting the autonomy capabilities corresponding to different </w:t>
      </w:r>
      <w:r>
        <w:rPr>
          <w:i w:val="0"/>
          <w:iCs/>
        </w:rPr>
        <w:t>autonomous network levels for</w:t>
      </w:r>
      <w:r>
        <w:rPr>
          <w:rFonts w:hint="default"/>
          <w:i w:val="0"/>
          <w:iCs/>
          <w:lang w:val="en-US"/>
        </w:rPr>
        <w:t xml:space="preserve"> </w:t>
      </w:r>
      <w:r>
        <w:rPr>
          <w:rFonts w:hint="eastAsia"/>
          <w:i w:val="0"/>
          <w:iCs/>
        </w:rPr>
        <w:t>RAN energy saving and 5GC NF deployment</w:t>
      </w:r>
      <w:r>
        <w:rPr>
          <w:rFonts w:hint="default"/>
          <w:i w:val="0"/>
          <w:iCs/>
          <w:lang w:val="en-US"/>
        </w:rPr>
        <w:t xml:space="preserve"> are </w:t>
      </w:r>
      <w:r>
        <w:rPr>
          <w:i w:val="0"/>
          <w:iCs/>
        </w:rPr>
        <w:t>not specified.</w:t>
      </w:r>
    </w:p>
    <w:p>
      <w:pPr>
        <w:rPr>
          <w:rFonts w:eastAsia="宋体"/>
          <w:lang w:val="en-US" w:eastAsia="zh-CN"/>
        </w:rPr>
      </w:pPr>
      <w:r>
        <w:rPr>
          <w:rFonts w:hint="eastAsia"/>
          <w:lang w:val="en-US" w:eastAsia="zh-CN"/>
        </w:rPr>
        <w:t xml:space="preserve">Current autonomous network levels definition in Rel-17 provides </w:t>
      </w:r>
      <w:r>
        <w:rPr>
          <w:iCs/>
          <w:lang w:val="en-US"/>
        </w:rPr>
        <w:t>framework approach for ANL</w:t>
      </w:r>
      <w:r>
        <w:rPr>
          <w:rFonts w:hint="eastAsia" w:eastAsia="宋体"/>
          <w:iCs/>
          <w:lang w:val="en-US" w:eastAsia="zh-CN"/>
        </w:rPr>
        <w:t xml:space="preserve"> and </w:t>
      </w:r>
      <w:r>
        <w:rPr>
          <w:iCs/>
          <w:lang w:val="en-US"/>
        </w:rPr>
        <w:t>generic autonomous network levels</w:t>
      </w:r>
      <w:r>
        <w:rPr>
          <w:rFonts w:hint="eastAsia" w:eastAsia="宋体"/>
          <w:iCs/>
          <w:lang w:val="en-US" w:eastAsia="zh-CN"/>
        </w:rPr>
        <w:t xml:space="preserve"> with </w:t>
      </w:r>
      <w:r>
        <w:rPr>
          <w:rFonts w:hint="eastAsia"/>
        </w:rPr>
        <w:t>description of the autonomy capability (participation of the human and telecommunication system) of each task in the workflows</w:t>
      </w:r>
      <w:r>
        <w:rPr>
          <w:rFonts w:hint="eastAsia" w:eastAsia="宋体"/>
          <w:lang w:val="en-US" w:eastAsia="zh-CN"/>
        </w:rPr>
        <w:t xml:space="preserve">. It </w:t>
      </w:r>
      <w:r>
        <w:rPr>
          <w:rFonts w:hint="eastAsia"/>
          <w:lang w:val="en-US" w:eastAsia="zh-CN"/>
        </w:rPr>
        <w:t>provides</w:t>
      </w:r>
      <w:r>
        <w:rPr>
          <w:rFonts w:hint="eastAsia" w:eastAsia="宋体"/>
          <w:lang w:val="en-US" w:eastAsia="zh-CN"/>
        </w:rPr>
        <w:t xml:space="preserve"> a methodology</w:t>
      </w:r>
      <w:r>
        <w:rPr>
          <w:rFonts w:hint="eastAsia"/>
        </w:rPr>
        <w:t xml:space="preserve"> </w:t>
      </w:r>
      <w:r>
        <w:rPr>
          <w:rFonts w:hint="eastAsia" w:eastAsia="宋体"/>
          <w:lang w:val="en-US" w:eastAsia="zh-CN"/>
        </w:rPr>
        <w:t xml:space="preserve">for </w:t>
      </w:r>
      <w:r>
        <w:t>the telecom industry</w:t>
      </w:r>
      <w:r>
        <w:rPr>
          <w:rFonts w:hint="eastAsia" w:eastAsia="宋体"/>
          <w:lang w:val="en-US" w:eastAsia="zh-CN"/>
        </w:rPr>
        <w:t xml:space="preserve"> to evaluate the levels of autonomous networks in the scope of 3GPP system. However, to support </w:t>
      </w:r>
      <w:r>
        <w:rPr>
          <w:iCs/>
          <w:lang w:val="en-US"/>
        </w:rPr>
        <w:t>ANL</w:t>
      </w:r>
      <w:r>
        <w:rPr>
          <w:rFonts w:hint="eastAsia" w:eastAsia="宋体"/>
          <w:iCs/>
          <w:lang w:val="en-US" w:eastAsia="zh-CN"/>
        </w:rPr>
        <w:t xml:space="preserve"> </w:t>
      </w:r>
      <w:r>
        <w:rPr>
          <w:rFonts w:hint="eastAsia" w:eastAsia="宋体"/>
          <w:lang w:val="en-US" w:eastAsia="zh-CN"/>
        </w:rPr>
        <w:t xml:space="preserve">evaluation, in 3GPP management system, there are still some issues </w:t>
      </w:r>
      <w:r>
        <w:rPr>
          <w:rFonts w:hint="default" w:eastAsia="宋体"/>
          <w:lang w:val="en-US" w:eastAsia="zh-CN"/>
        </w:rPr>
        <w:t xml:space="preserve">are under study and </w:t>
      </w:r>
      <w:r>
        <w:rPr>
          <w:rFonts w:hint="eastAsia" w:eastAsia="宋体"/>
          <w:lang w:val="en-US" w:eastAsia="zh-CN"/>
        </w:rPr>
        <w:t xml:space="preserve">need to be addressed </w:t>
      </w:r>
      <w:r>
        <w:rPr>
          <w:rFonts w:hint="default" w:eastAsia="宋体"/>
          <w:lang w:val="en-US" w:eastAsia="zh-CN"/>
        </w:rPr>
        <w:t>with necessary normative work</w:t>
      </w:r>
      <w:r>
        <w:rPr>
          <w:rFonts w:hint="eastAsia" w:eastAsia="宋体"/>
          <w:lang w:val="en-US" w:eastAsia="zh-CN"/>
        </w:rPr>
        <w:t xml:space="preserve">. For example, </w:t>
      </w:r>
    </w:p>
    <w:p>
      <w:pPr>
        <w:ind w:left="200" w:hanging="200" w:hangingChars="10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How to describe and specify the evaluation objects?</w:t>
      </w:r>
    </w:p>
    <w:p>
      <w:pPr>
        <w:ind w:left="200" w:hanging="200" w:hangingChars="10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How to interact the information of ANL evaluation results in 3GPP management system?</w:t>
      </w:r>
    </w:p>
    <w:p>
      <w:pPr>
        <w:rPr>
          <w:lang w:val="en-US" w:eastAsia="zh-CN"/>
        </w:rPr>
      </w:pPr>
      <w:r>
        <w:rPr>
          <w:rFonts w:hint="eastAsia"/>
          <w:lang w:val="en-US" w:eastAsia="zh-CN"/>
        </w:rPr>
        <w:t xml:space="preserve">Existing KPIs could be used to evaluate the performance of the autonomous network, but it is not sufficient to reflect the effect from autonomous management perspective. Key effectiveness indicators could be used to help the NOPs to understand what benefits from autonomous management perspective they could get from upgrading their network systems to the corresponding levels and how to evaluate the gains by doing so. </w:t>
      </w:r>
      <w:r>
        <w:rPr>
          <w:rFonts w:hint="eastAsia" w:eastAsia="宋体"/>
          <w:lang w:val="en-US" w:eastAsia="zh-CN"/>
        </w:rPr>
        <w:t xml:space="preserve">However, </w:t>
      </w:r>
      <w:r>
        <w:rPr>
          <w:rFonts w:hint="eastAsia"/>
          <w:lang w:val="en-US" w:eastAsia="zh-CN"/>
        </w:rPr>
        <w:t xml:space="preserve">existing 3GPP TSs have not defined any KEIs for evaluating the effects of achieving specific autonomous network level </w:t>
      </w:r>
      <w:r>
        <w:rPr>
          <w:rFonts w:hint="eastAsia" w:eastAsia="宋体"/>
          <w:color w:val="auto"/>
          <w:lang w:val="en-US" w:eastAsia="zh-CN"/>
        </w:rPr>
        <w:t>for any scenarios.</w:t>
      </w:r>
    </w:p>
    <w:p>
      <w:pPr>
        <w:pStyle w:val="3"/>
      </w:pPr>
      <w:r>
        <w:t>4</w:t>
      </w:r>
      <w:r>
        <w:tab/>
      </w:r>
      <w:r>
        <w:t>Objective</w:t>
      </w:r>
    </w:p>
    <w:p>
      <w:pPr>
        <w:pStyle w:val="127"/>
        <w:rPr>
          <w:i w:val="0"/>
          <w:iCs/>
        </w:rPr>
      </w:pPr>
      <w:r>
        <w:rPr>
          <w:i w:val="0"/>
          <w:iCs/>
        </w:rPr>
        <w:t>The objectives are to:</w:t>
      </w:r>
    </w:p>
    <w:p>
      <w:pPr>
        <w:ind w:left="400" w:hanging="400" w:hangingChars="200"/>
        <w:rPr>
          <w:rFonts w:hint="eastAsia"/>
          <w:lang w:val="en-US" w:eastAsia="zh-CN"/>
        </w:rPr>
      </w:pPr>
      <w:r>
        <w:rPr>
          <w:rFonts w:hint="eastAsia"/>
          <w:iCs/>
          <w:lang w:val="en-US" w:eastAsia="zh-CN"/>
        </w:rPr>
        <w:t>1)</w:t>
      </w:r>
      <w:r>
        <w:rPr>
          <w:rFonts w:hint="eastAsia"/>
          <w:iCs/>
          <w:lang w:val="en-US" w:eastAsia="zh-CN"/>
        </w:rPr>
        <w:tab/>
      </w:r>
      <w:r>
        <w:rPr>
          <w:rFonts w:hint="eastAsia"/>
          <w:iCs/>
          <w:lang w:val="en-US" w:eastAsia="zh-CN"/>
        </w:rPr>
        <w:t xml:space="preserve">Specify enhanced MnS requirements </w:t>
      </w:r>
      <w:r>
        <w:rPr>
          <w:iCs/>
          <w:lang w:val="en-US" w:eastAsia="zh-CN"/>
        </w:rPr>
        <w:t>and corresponding solution</w:t>
      </w:r>
      <w:r>
        <w:rPr>
          <w:rFonts w:hint="eastAsia"/>
          <w:iCs/>
          <w:lang w:val="en-US" w:eastAsia="zh-CN"/>
        </w:rPr>
        <w:t xml:space="preserve"> support autonomy capabilities </w:t>
      </w:r>
      <w:r>
        <w:t xml:space="preserve">for each autonomous </w:t>
      </w:r>
      <w:r>
        <w:rPr>
          <w:rFonts w:hint="eastAsia"/>
          <w:lang w:val="en-US" w:eastAsia="zh-CN"/>
        </w:rPr>
        <w:t xml:space="preserve">network </w:t>
      </w:r>
      <w:r>
        <w:t xml:space="preserve">levels </w:t>
      </w:r>
      <w:r>
        <w:rPr>
          <w:rFonts w:hint="eastAsia"/>
          <w:iCs/>
          <w:lang w:val="en-US" w:eastAsia="zh-CN"/>
        </w:rPr>
        <w:t xml:space="preserve">for the </w:t>
      </w:r>
      <w:r>
        <w:rPr>
          <w:lang w:eastAsia="zh-CN"/>
        </w:rPr>
        <w:t xml:space="preserve">use case of </w:t>
      </w:r>
      <w:r>
        <w:rPr>
          <w:rFonts w:hint="eastAsia"/>
          <w:iCs/>
          <w:lang w:val="en-US" w:eastAsia="zh-CN"/>
        </w:rPr>
        <w:t>RAN NE deployment, fault management, radio network coverage optimization RAN UE throughput optimization</w:t>
      </w:r>
      <w:r>
        <w:rPr>
          <w:lang w:eastAsia="zh-CN"/>
        </w:rPr>
        <w:t xml:space="preserve">  defined in Rel-17</w:t>
      </w:r>
      <w:r>
        <w:rPr>
          <w:rFonts w:hint="eastAsia"/>
          <w:lang w:val="en-US" w:eastAsia="zh-CN"/>
        </w:rPr>
        <w:t>.</w:t>
      </w:r>
    </w:p>
    <w:p>
      <w:pPr>
        <w:ind w:left="400" w:hanging="400" w:hangingChars="200"/>
        <w:rPr>
          <w:lang w:eastAsia="zh-CN"/>
        </w:rPr>
      </w:pPr>
      <w:r>
        <w:rPr>
          <w:rFonts w:hint="eastAsia"/>
          <w:lang w:val="en-US" w:eastAsia="zh-CN"/>
        </w:rPr>
        <w:t>2)</w:t>
      </w:r>
      <w:r>
        <w:rPr>
          <w:rFonts w:hint="eastAsia"/>
          <w:lang w:val="en-US" w:eastAsia="zh-CN"/>
        </w:rPr>
        <w:tab/>
      </w:r>
      <w:r>
        <w:rPr>
          <w:rFonts w:hint="eastAsia"/>
          <w:iCs/>
          <w:lang w:val="en-US" w:eastAsia="zh-CN"/>
        </w:rPr>
        <w:t xml:space="preserve">Specify </w:t>
      </w:r>
      <w:r>
        <w:t>related workflows</w:t>
      </w:r>
      <w:r>
        <w:rPr>
          <w:rFonts w:hint="eastAsia"/>
          <w:lang w:val="en-US" w:eastAsia="zh-CN"/>
        </w:rPr>
        <w:t xml:space="preserve">, </w:t>
      </w:r>
      <w:r>
        <w:t>management</w:t>
      </w:r>
      <w:r>
        <w:rPr>
          <w:lang w:val="en-US"/>
        </w:rPr>
        <w:t xml:space="preserve"> </w:t>
      </w:r>
      <w:r>
        <w:rPr>
          <w:rFonts w:hint="eastAsia"/>
          <w:iCs/>
          <w:lang w:val="en-US" w:eastAsia="zh-CN"/>
        </w:rPr>
        <w:t>requirements</w:t>
      </w:r>
      <w:r>
        <w:t xml:space="preserve"> </w:t>
      </w:r>
      <w:r>
        <w:rPr>
          <w:rFonts w:hint="eastAsia"/>
          <w:lang w:val="en-US" w:eastAsia="zh-CN"/>
        </w:rPr>
        <w:t xml:space="preserve">and </w:t>
      </w:r>
      <w:r>
        <w:rPr>
          <w:rFonts w:hint="eastAsia"/>
          <w:iCs/>
          <w:lang w:val="en-US" w:eastAsia="zh-CN"/>
        </w:rPr>
        <w:t xml:space="preserve">MnS requirements to support autonomy capabilities </w:t>
      </w:r>
      <w:r>
        <w:t xml:space="preserve">for each autonomous </w:t>
      </w:r>
      <w:r>
        <w:rPr>
          <w:rFonts w:hint="eastAsia"/>
          <w:lang w:val="en-US" w:eastAsia="zh-CN"/>
        </w:rPr>
        <w:t xml:space="preserve">network </w:t>
      </w:r>
      <w:r>
        <w:t>levels for RAN energy saving and 5GC NF deployment.</w:t>
      </w:r>
    </w:p>
    <w:p>
      <w:pPr>
        <w:ind w:left="400" w:hanging="400" w:hangingChars="200"/>
        <w:rPr>
          <w:rFonts w:hint="eastAsia"/>
          <w:lang w:val="en-US" w:eastAsia="zh-CN"/>
        </w:rPr>
      </w:pPr>
      <w:r>
        <w:rPr>
          <w:iCs/>
          <w:lang w:val="en-US" w:eastAsia="zh-CN"/>
        </w:rPr>
        <w:t>3</w:t>
      </w:r>
      <w:r>
        <w:rPr>
          <w:rFonts w:hint="eastAsia"/>
          <w:iCs/>
          <w:lang w:val="en-US" w:eastAsia="zh-CN"/>
        </w:rPr>
        <w:t>)</w:t>
      </w:r>
      <w:r>
        <w:rPr>
          <w:rFonts w:hint="eastAsia"/>
          <w:iCs/>
          <w:lang w:val="en-US" w:eastAsia="zh-CN"/>
        </w:rPr>
        <w:tab/>
      </w:r>
      <w:r>
        <w:rPr>
          <w:rFonts w:hint="eastAsia"/>
          <w:iCs/>
          <w:lang w:val="en-US" w:eastAsia="zh-CN"/>
        </w:rPr>
        <w:t>Specify the MnS requirements and solutions to support ANL evaluation, including</w:t>
      </w:r>
      <w:r>
        <w:rPr>
          <w:iCs/>
          <w:lang w:val="en-US" w:eastAsia="zh-CN"/>
        </w:rPr>
        <w:t>:</w:t>
      </w:r>
      <w:r>
        <w:rPr>
          <w:rFonts w:hint="eastAsia"/>
          <w:lang w:val="en-US" w:eastAsia="zh-CN"/>
        </w:rPr>
        <w:t xml:space="preserve"> </w:t>
      </w:r>
    </w:p>
    <w:p>
      <w:pPr>
        <w:ind w:left="600" w:leftChars="200" w:hanging="200" w:hangingChars="100"/>
        <w:rPr>
          <w:rFonts w:hint="eastAsia"/>
          <w:iCs/>
          <w:lang w:val="en-US" w:eastAsia="zh-CN"/>
        </w:rPr>
      </w:pPr>
      <w:r>
        <w:rPr>
          <w:rFonts w:hint="eastAsia"/>
          <w:iCs/>
          <w:lang w:val="en-US" w:eastAsia="zh-CN"/>
        </w:rPr>
        <w:t xml:space="preserve">- </w:t>
      </w:r>
      <w:r>
        <w:rPr>
          <w:rFonts w:hint="eastAsia"/>
          <w:iCs/>
          <w:lang w:val="en-US" w:eastAsia="zh-CN"/>
        </w:rPr>
        <w:tab/>
      </w:r>
      <w:r>
        <w:rPr>
          <w:rFonts w:hint="eastAsia"/>
          <w:lang w:val="en-US" w:eastAsia="zh-CN"/>
        </w:rPr>
        <w:t>C</w:t>
      </w:r>
      <w:r>
        <w:rPr>
          <w:lang w:eastAsia="zh-CN"/>
        </w:rPr>
        <w:t xml:space="preserve">apability to describe </w:t>
      </w:r>
      <w:r>
        <w:rPr>
          <w:rFonts w:hint="eastAsia"/>
          <w:lang w:val="en-US" w:eastAsia="zh-CN"/>
        </w:rPr>
        <w:t xml:space="preserve">ANL </w:t>
      </w:r>
      <w:r>
        <w:rPr>
          <w:lang w:eastAsia="zh-CN"/>
        </w:rPr>
        <w:t>evaluation object</w:t>
      </w:r>
      <w:r>
        <w:rPr>
          <w:rFonts w:hint="eastAsia"/>
          <w:iCs/>
          <w:lang w:val="en-US" w:eastAsia="zh-CN"/>
        </w:rPr>
        <w:t>.</w:t>
      </w:r>
    </w:p>
    <w:p>
      <w:pPr>
        <w:ind w:left="600" w:leftChars="200" w:hanging="200" w:hangingChars="100"/>
        <w:rPr>
          <w:iCs/>
          <w:lang w:val="en-US" w:eastAsia="zh-CN"/>
        </w:rPr>
      </w:pPr>
      <w:r>
        <w:rPr>
          <w:rFonts w:hint="eastAsia"/>
          <w:iCs/>
          <w:lang w:val="en-US" w:eastAsia="zh-CN"/>
        </w:rPr>
        <w:t>-</w:t>
      </w:r>
      <w:r>
        <w:rPr>
          <w:rFonts w:hint="eastAsia"/>
          <w:iCs/>
          <w:lang w:val="en-US" w:eastAsia="zh-CN"/>
        </w:rPr>
        <w:tab/>
      </w:r>
      <w:r>
        <w:rPr>
          <w:rFonts w:hint="eastAsia"/>
          <w:lang w:val="en-US" w:eastAsia="zh-CN"/>
        </w:rPr>
        <w:t>C</w:t>
      </w:r>
      <w:r>
        <w:rPr>
          <w:lang w:eastAsia="zh-CN"/>
        </w:rPr>
        <w:t xml:space="preserve">apability to obtain </w:t>
      </w:r>
      <w:r>
        <w:rPr>
          <w:rFonts w:hint="eastAsia"/>
          <w:lang w:val="en-US" w:eastAsia="zh-CN"/>
        </w:rPr>
        <w:t>ANL</w:t>
      </w:r>
      <w:r>
        <w:rPr>
          <w:lang w:eastAsia="zh-CN"/>
        </w:rPr>
        <w:t xml:space="preserve"> evaluation result (i.e. ANL)</w:t>
      </w:r>
      <w:r>
        <w:rPr>
          <w:rFonts w:hint="eastAsia"/>
          <w:lang w:val="en-US" w:eastAsia="zh-CN"/>
        </w:rPr>
        <w:t xml:space="preserve"> for </w:t>
      </w:r>
      <w:r>
        <w:rPr>
          <w:lang w:eastAsia="zh-CN"/>
        </w:rPr>
        <w:t>corresponding evaluation object</w:t>
      </w:r>
      <w:r>
        <w:rPr>
          <w:rFonts w:hint="eastAsia"/>
          <w:lang w:val="en-US" w:eastAsia="zh-CN"/>
        </w:rPr>
        <w:t>.</w:t>
      </w:r>
    </w:p>
    <w:p>
      <w:pPr>
        <w:ind w:left="400" w:hanging="400" w:hangingChars="200"/>
        <w:rPr>
          <w:rFonts w:hint="eastAsia"/>
          <w:lang w:val="en-US" w:eastAsia="zh-CN"/>
        </w:rPr>
      </w:pPr>
      <w:r>
        <w:rPr>
          <w:lang w:val="en-US" w:eastAsia="zh-CN"/>
        </w:rPr>
        <w:t>4</w:t>
      </w:r>
      <w:r>
        <w:rPr>
          <w:rFonts w:hint="eastAsia"/>
          <w:lang w:val="en-US" w:eastAsia="zh-CN"/>
        </w:rPr>
        <w:t>)</w:t>
      </w:r>
      <w:r>
        <w:rPr>
          <w:rFonts w:hint="eastAsia"/>
          <w:lang w:val="en-US" w:eastAsia="zh-CN"/>
        </w:rPr>
        <w:tab/>
      </w:r>
      <w:r>
        <w:rPr>
          <w:rFonts w:hint="eastAsia"/>
          <w:iCs/>
          <w:lang w:val="en-US" w:eastAsia="zh-CN"/>
        </w:rPr>
        <w:t xml:space="preserve">Specify the KEIs </w:t>
      </w:r>
      <w:r>
        <w:rPr>
          <w:rFonts w:hint="eastAsia"/>
          <w:lang w:val="en-US" w:eastAsia="zh-CN"/>
        </w:rPr>
        <w:t>for</w:t>
      </w:r>
      <w:r>
        <w:rPr>
          <w:lang w:val="en-US" w:eastAsia="zh-CN"/>
        </w:rPr>
        <w:t xml:space="preserve"> network optimization and energy saving</w:t>
      </w:r>
      <w:r>
        <w:rPr>
          <w:rFonts w:hint="eastAsia"/>
          <w:iCs/>
          <w:lang w:val="en-US" w:eastAsia="zh-CN"/>
        </w:rPr>
        <w:t>.</w:t>
      </w:r>
      <w:r>
        <w:rPr>
          <w:rFonts w:hint="eastAsia"/>
          <w:lang w:val="en-US" w:eastAsia="zh-CN"/>
        </w:rPr>
        <w:t xml:space="preserve"> </w:t>
      </w:r>
    </w:p>
    <w:p>
      <w:pPr>
        <w:rPr>
          <w:rFonts w:eastAsia="宋体"/>
          <w:color w:val="auto"/>
          <w:lang w:val="en-US" w:eastAsia="zh-CN"/>
        </w:rPr>
      </w:pPr>
      <w:r>
        <w:t>This work will take into account of the study in 3GPP TR 28.</w:t>
      </w:r>
      <w:r>
        <w:rPr>
          <w:rFonts w:hint="eastAsia" w:eastAsia="宋体"/>
          <w:lang w:val="en-US" w:eastAsia="zh-CN"/>
        </w:rPr>
        <w:t>9</w:t>
      </w:r>
      <w:r>
        <w:t>10</w:t>
      </w:r>
      <w:r>
        <w:rPr>
          <w:rFonts w:hint="eastAsia" w:eastAsia="宋体"/>
          <w:lang w:val="en-US" w:eastAsia="zh-CN"/>
        </w:rPr>
        <w:t>, TR 28.909</w:t>
      </w:r>
      <w:r>
        <w:t xml:space="preserve"> and related work in progress which are related to network autonomy. </w:t>
      </w:r>
      <w:r>
        <w:rPr>
          <w:lang w:eastAsia="zh-CN"/>
        </w:rPr>
        <w:t xml:space="preserve">Any existing standard deliverables </w:t>
      </w:r>
      <w:r>
        <w:t xml:space="preserve">shall be reused </w:t>
      </w:r>
      <w:r>
        <w:rPr>
          <w:lang w:eastAsia="zh-CN"/>
        </w:rPr>
        <w:t xml:space="preserve">as much as possible </w:t>
      </w:r>
      <w:r>
        <w:t>when applicable.</w:t>
      </w:r>
      <w:r>
        <w:rPr>
          <w:lang w:eastAsia="zh-CN"/>
        </w:rPr>
        <w:t xml:space="preserve"> </w:t>
      </w:r>
      <w:r>
        <w:rPr>
          <w:rFonts w:hint="eastAsia" w:ascii="Times New Roman" w:hAnsi="Times New Roman" w:eastAsia="宋体" w:cs="Times New Roman"/>
          <w:iCs/>
          <w:lang w:val="en-US" w:eastAsia="zh-CN"/>
        </w:rPr>
        <w:t>In which work item to define the new solution depends on the concrete MnS requirements, for example, MDA related solution can be defined in eMDAS work, intent related solution can be defined in eIDMS work.</w:t>
      </w:r>
      <w:r>
        <w:rPr>
          <w:rFonts w:hint="eastAsia" w:eastAsia="宋体" w:cs="Times New Roman"/>
          <w:iCs/>
          <w:lang w:val="en-US" w:eastAsia="zh-CN"/>
        </w:rPr>
        <w:t xml:space="preserve"> </w:t>
      </w:r>
      <w:r>
        <w:rPr>
          <w:lang w:eastAsia="zh-CN"/>
        </w:rPr>
        <w:t xml:space="preserve">Coordination with 3GPP working groups (e.g. SA WG2, RAN WG3) and other groups (e.g. </w:t>
      </w:r>
      <w:r>
        <w:rPr>
          <w:rFonts w:hint="eastAsia"/>
          <w:lang w:eastAsia="zh-CN"/>
        </w:rPr>
        <w:t xml:space="preserve">ETSI </w:t>
      </w:r>
      <w:r>
        <w:rPr>
          <w:lang w:eastAsia="zh-CN"/>
        </w:rPr>
        <w:t xml:space="preserve">ISG </w:t>
      </w:r>
      <w:r>
        <w:rPr>
          <w:rFonts w:hint="eastAsia"/>
          <w:lang w:eastAsia="zh-CN"/>
        </w:rPr>
        <w:t>ZSM</w:t>
      </w:r>
      <w:r>
        <w:rPr>
          <w:lang w:eastAsia="zh-CN"/>
        </w:rPr>
        <w:t>) to achieve coordinated view on autonomous network are needed.</w:t>
      </w:r>
    </w:p>
    <w:p/>
    <w:p>
      <w:pPr>
        <w:pStyle w:val="3"/>
      </w:pPr>
      <w:r>
        <w:t>5</w:t>
      </w:r>
      <w:r>
        <w:tab/>
      </w:r>
      <w:r>
        <w:t>Expected Output and Time scale</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94"/>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94"/>
            </w:pPr>
            <w:r>
              <w:t xml:space="preserve">Type </w:t>
            </w:r>
          </w:p>
        </w:tc>
        <w:tc>
          <w:tcPr>
            <w:tcW w:w="1134" w:type="dxa"/>
            <w:shd w:val="clear" w:color="auto" w:fill="D9D9D9"/>
            <w:tcMar>
              <w:left w:w="57" w:type="dxa"/>
              <w:right w:w="57" w:type="dxa"/>
            </w:tcMar>
          </w:tcPr>
          <w:p>
            <w:pPr>
              <w:pStyle w:val="94"/>
            </w:pPr>
            <w:r>
              <w:t>TS/TR number</w:t>
            </w:r>
          </w:p>
        </w:tc>
        <w:tc>
          <w:tcPr>
            <w:tcW w:w="2409" w:type="dxa"/>
            <w:shd w:val="clear" w:color="auto" w:fill="D9D9D9"/>
            <w:tcMar>
              <w:left w:w="57" w:type="dxa"/>
              <w:right w:w="57" w:type="dxa"/>
            </w:tcMar>
          </w:tcPr>
          <w:p>
            <w:pPr>
              <w:pStyle w:val="94"/>
            </w:pPr>
            <w:r>
              <w:t>Title</w:t>
            </w:r>
          </w:p>
        </w:tc>
        <w:tc>
          <w:tcPr>
            <w:tcW w:w="993" w:type="dxa"/>
            <w:shd w:val="clear" w:color="auto" w:fill="D9D9D9"/>
            <w:tcMar>
              <w:left w:w="57" w:type="dxa"/>
              <w:right w:w="57" w:type="dxa"/>
            </w:tcMar>
          </w:tcPr>
          <w:p>
            <w:pPr>
              <w:pStyle w:val="94"/>
            </w:pPr>
            <w:r>
              <w:t xml:space="preserve">For info </w:t>
            </w:r>
            <w:r>
              <w:br w:type="textWrapping"/>
            </w:r>
            <w:r>
              <w:t xml:space="preserve">at TSG# </w:t>
            </w:r>
          </w:p>
        </w:tc>
        <w:tc>
          <w:tcPr>
            <w:tcW w:w="1074" w:type="dxa"/>
            <w:shd w:val="clear" w:color="auto" w:fill="D9D9D9"/>
            <w:tcMar>
              <w:left w:w="57" w:type="dxa"/>
              <w:right w:w="57" w:type="dxa"/>
            </w:tcMar>
          </w:tcPr>
          <w:p>
            <w:pPr>
              <w:pStyle w:val="94"/>
            </w:pPr>
            <w:r>
              <w:t>For approval at TSG#</w:t>
            </w:r>
          </w:p>
        </w:tc>
        <w:tc>
          <w:tcPr>
            <w:tcW w:w="2186" w:type="dxa"/>
            <w:shd w:val="clear" w:color="auto" w:fill="D9D9D9"/>
            <w:tcMar>
              <w:left w:w="57" w:type="dxa"/>
              <w:right w:w="57" w:type="dxa"/>
            </w:tcMar>
          </w:tcPr>
          <w:p>
            <w:pPr>
              <w:pStyle w:val="94"/>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27"/>
              <w:spacing w:after="0"/>
              <w:rPr>
                <w:rFonts w:eastAsia="宋体"/>
                <w:i w:val="0"/>
                <w:iCs/>
                <w:lang w:val="en-US" w:eastAsia="zh-CN"/>
              </w:rPr>
            </w:pPr>
          </w:p>
        </w:tc>
        <w:tc>
          <w:tcPr>
            <w:tcW w:w="1134" w:type="dxa"/>
          </w:tcPr>
          <w:p>
            <w:pPr>
              <w:pStyle w:val="127"/>
              <w:spacing w:after="0"/>
              <w:rPr>
                <w:rFonts w:eastAsia="宋体"/>
                <w:i w:val="0"/>
                <w:iCs/>
                <w:lang w:val="en-US" w:eastAsia="zh-CN"/>
              </w:rPr>
            </w:pPr>
          </w:p>
        </w:tc>
        <w:tc>
          <w:tcPr>
            <w:tcW w:w="2409" w:type="dxa"/>
          </w:tcPr>
          <w:p>
            <w:pPr>
              <w:pStyle w:val="127"/>
              <w:spacing w:after="0"/>
              <w:rPr>
                <w:i w:val="0"/>
                <w:iCs/>
              </w:rPr>
            </w:pPr>
          </w:p>
        </w:tc>
        <w:tc>
          <w:tcPr>
            <w:tcW w:w="993" w:type="dxa"/>
          </w:tcPr>
          <w:p>
            <w:pPr>
              <w:spacing w:after="0"/>
              <w:rPr>
                <w:iCs/>
              </w:rPr>
            </w:pPr>
          </w:p>
        </w:tc>
        <w:tc>
          <w:tcPr>
            <w:tcW w:w="1074" w:type="dxa"/>
          </w:tcPr>
          <w:p>
            <w:pPr>
              <w:spacing w:after="0"/>
              <w:rPr>
                <w:iCs/>
              </w:rPr>
            </w:pPr>
          </w:p>
        </w:tc>
        <w:tc>
          <w:tcPr>
            <w:tcW w:w="2186" w:type="dxa"/>
          </w:tcPr>
          <w:p>
            <w:pPr>
              <w:pStyle w:val="127"/>
              <w:spacing w:after="0"/>
              <w:rPr>
                <w:rFonts w:ascii="Arial" w:hAnsi="Arial" w:eastAsia="宋体"/>
                <w:i w:val="0"/>
                <w:sz w:val="18"/>
                <w:lang w:val="en-US" w:eastAsia="zh-CN"/>
              </w:rPr>
            </w:pPr>
            <w:r>
              <w:rPr>
                <w:rFonts w:hint="eastAsia" w:ascii="Arial" w:hAnsi="Arial" w:eastAsia="宋体"/>
                <w:i w:val="0"/>
                <w:sz w:val="18"/>
                <w:lang w:val="en-US" w:eastAsia="zh-CN"/>
              </w:rPr>
              <w:t xml:space="preserve">Cao, Xi, China Mobile, </w:t>
            </w:r>
            <w:r>
              <w:fldChar w:fldCharType="begin"/>
            </w:r>
            <w:r>
              <w:instrText xml:space="preserve"> HYPERLINK "mailto:caoxi@chinamobile.com" </w:instrText>
            </w:r>
            <w:r>
              <w:fldChar w:fldCharType="separate"/>
            </w:r>
            <w:r>
              <w:rPr>
                <w:rFonts w:hint="eastAsia" w:ascii="Arial" w:hAnsi="Arial" w:eastAsia="宋体"/>
                <w:i w:val="0"/>
                <w:sz w:val="18"/>
                <w:lang w:val="en-US" w:eastAsia="zh-CN"/>
              </w:rPr>
              <w:t>caoxi@chinamobile.com</w:t>
            </w:r>
            <w:r>
              <w:rPr>
                <w:rFonts w:hint="eastAsia" w:ascii="Arial" w:hAnsi="Arial" w:eastAsia="宋体"/>
                <w:i w:val="0"/>
                <w:sz w:val="18"/>
                <w:lang w:val="en-US" w:eastAsia="zh-CN"/>
              </w:rPr>
              <w:fldChar w:fldCharType="end"/>
            </w:r>
          </w:p>
          <w:p>
            <w:pPr>
              <w:pStyle w:val="127"/>
              <w:spacing w:after="0"/>
              <w:rPr>
                <w:i w:val="0"/>
                <w:iCs/>
              </w:rPr>
            </w:pPr>
            <w:r>
              <w:rPr>
                <w:rFonts w:hint="eastAsia" w:ascii="Arial" w:hAnsi="Arial" w:eastAsia="宋体"/>
                <w:i w:val="0"/>
                <w:sz w:val="18"/>
                <w:lang w:val="es-ES" w:eastAsia="zh-CN"/>
              </w:rPr>
              <w:t xml:space="preserve">Xu Ruiyue, Huawei,  </w:t>
            </w:r>
            <w:r>
              <w:rPr>
                <w:rFonts w:hint="eastAsia" w:ascii="Arial" w:hAnsi="Arial" w:eastAsia="宋体"/>
                <w:i w:val="0"/>
                <w:sz w:val="18"/>
                <w:lang w:val="en-US" w:eastAsia="zh-CN"/>
              </w:rPr>
              <w:fldChar w:fldCharType="begin"/>
            </w:r>
            <w:r>
              <w:rPr>
                <w:rFonts w:hint="eastAsia" w:ascii="Arial" w:hAnsi="Arial" w:eastAsia="宋体"/>
                <w:i w:val="0"/>
                <w:sz w:val="18"/>
                <w:lang w:val="es-ES" w:eastAsia="zh-CN"/>
              </w:rPr>
              <w:instrText xml:space="preserve"> HYPERLINK "mailto:xuruiyue@huawei.com" </w:instrText>
            </w:r>
            <w:r>
              <w:rPr>
                <w:rFonts w:hint="eastAsia" w:ascii="Arial" w:hAnsi="Arial" w:eastAsia="宋体"/>
                <w:i w:val="0"/>
                <w:sz w:val="18"/>
                <w:lang w:val="en-US" w:eastAsia="zh-CN"/>
              </w:rPr>
              <w:fldChar w:fldCharType="separate"/>
            </w:r>
            <w:r>
              <w:rPr>
                <w:rFonts w:hint="eastAsia" w:ascii="Arial" w:hAnsi="Arial" w:eastAsia="宋体"/>
                <w:i w:val="0"/>
                <w:sz w:val="18"/>
                <w:lang w:val="es-ES" w:eastAsia="zh-CN"/>
              </w:rPr>
              <w:t>xuruiyue@huawei.com</w:t>
            </w:r>
            <w:r>
              <w:rPr>
                <w:rFonts w:hint="eastAsia" w:ascii="Arial" w:hAnsi="Arial" w:eastAsia="宋体"/>
                <w:i w:val="0"/>
                <w:sz w:val="18"/>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pStyle w:val="92"/>
            </w:pPr>
          </w:p>
        </w:tc>
        <w:tc>
          <w:tcPr>
            <w:tcW w:w="1134" w:type="dxa"/>
          </w:tcPr>
          <w:p>
            <w:pPr>
              <w:pStyle w:val="92"/>
            </w:pPr>
          </w:p>
        </w:tc>
        <w:tc>
          <w:tcPr>
            <w:tcW w:w="2409" w:type="dxa"/>
          </w:tcPr>
          <w:p>
            <w:pPr>
              <w:pStyle w:val="92"/>
            </w:pPr>
          </w:p>
        </w:tc>
        <w:tc>
          <w:tcPr>
            <w:tcW w:w="993" w:type="dxa"/>
          </w:tcPr>
          <w:p>
            <w:pPr>
              <w:pStyle w:val="92"/>
            </w:pPr>
          </w:p>
        </w:tc>
        <w:tc>
          <w:tcPr>
            <w:tcW w:w="1074" w:type="dxa"/>
          </w:tcPr>
          <w:p>
            <w:pPr>
              <w:pStyle w:val="92"/>
            </w:pPr>
          </w:p>
        </w:tc>
        <w:tc>
          <w:tcPr>
            <w:tcW w:w="2186" w:type="dxa"/>
          </w:tcPr>
          <w:p>
            <w:pPr>
              <w:pStyle w:val="92"/>
            </w:pPr>
          </w:p>
        </w:tc>
      </w:tr>
    </w:tbl>
    <w:p>
      <w:pPr>
        <w:pStyle w:val="104"/>
      </w:pPr>
    </w:p>
    <w:p/>
    <w:tbl>
      <w:tblPr>
        <w:tblStyle w:val="89"/>
        <w:tblW w:w="0" w:type="auto"/>
        <w:jc w:val="center"/>
        <w:tblLayout w:type="fixed"/>
        <w:tblCellMar>
          <w:top w:w="0" w:type="dxa"/>
          <w:left w:w="108" w:type="dxa"/>
          <w:bottom w:w="0" w:type="dxa"/>
          <w:right w:w="108" w:type="dxa"/>
        </w:tblCellMar>
      </w:tblPr>
      <w:tblGrid>
        <w:gridCol w:w="1443"/>
        <w:gridCol w:w="4340"/>
        <w:gridCol w:w="1415"/>
        <w:gridCol w:w="2102"/>
      </w:tblGrid>
      <w:tr>
        <w:tblPrEx>
          <w:tblCellMar>
            <w:top w:w="0" w:type="dxa"/>
            <w:left w:w="108" w:type="dxa"/>
            <w:bottom w:w="0" w:type="dxa"/>
            <w:right w:w="108" w:type="dxa"/>
          </w:tblCellMar>
        </w:tblPrEx>
        <w:trPr>
          <w:cantSplit/>
          <w:trHeight w:val="155" w:hRule="atLeast"/>
          <w:jc w:val="center"/>
        </w:trPr>
        <w:tc>
          <w:tcPr>
            <w:tcW w:w="9300" w:type="dxa"/>
            <w:gridSpan w:val="4"/>
            <w:tcBorders>
              <w:top w:val="single" w:color="auto" w:sz="4" w:space="0"/>
              <w:left w:val="single" w:color="auto" w:sz="4" w:space="0"/>
              <w:bottom w:val="single" w:color="auto" w:sz="4" w:space="0"/>
              <w:right w:val="single" w:color="auto" w:sz="4" w:space="0"/>
            </w:tcBorders>
            <w:shd w:val="clear" w:color="auto" w:fill="E0E0E0"/>
          </w:tcPr>
          <w:p>
            <w:pPr>
              <w:pStyle w:val="94"/>
            </w:pPr>
            <w:r>
              <w:t>Impacted existing TS/TR {One line per specification. Create/delete lines as needed}</w:t>
            </w:r>
          </w:p>
        </w:tc>
      </w:tr>
      <w:tr>
        <w:tblPrEx>
          <w:tblCellMar>
            <w:top w:w="0" w:type="dxa"/>
            <w:left w:w="108" w:type="dxa"/>
            <w:bottom w:w="0" w:type="dxa"/>
            <w:right w:w="108" w:type="dxa"/>
          </w:tblCellMar>
        </w:tblPrEx>
        <w:trPr>
          <w:cantSplit/>
          <w:trHeight w:val="451" w:hRule="atLeast"/>
          <w:jc w:val="center"/>
        </w:trPr>
        <w:tc>
          <w:tcPr>
            <w:tcW w:w="1443" w:type="dxa"/>
            <w:tcBorders>
              <w:top w:val="single" w:color="auto" w:sz="4" w:space="0"/>
              <w:left w:val="single" w:color="auto" w:sz="4" w:space="0"/>
              <w:bottom w:val="single" w:color="auto" w:sz="4" w:space="0"/>
              <w:right w:val="single" w:color="auto" w:sz="4" w:space="0"/>
            </w:tcBorders>
            <w:shd w:val="clear" w:color="auto" w:fill="E0E0E0"/>
          </w:tcPr>
          <w:p>
            <w:pPr>
              <w:pStyle w:val="94"/>
            </w:pPr>
            <w:r>
              <w:t>TS/TR No.</w:t>
            </w:r>
          </w:p>
        </w:tc>
        <w:tc>
          <w:tcPr>
            <w:tcW w:w="4340" w:type="dxa"/>
            <w:tcBorders>
              <w:top w:val="single" w:color="auto" w:sz="4" w:space="0"/>
              <w:left w:val="single" w:color="auto" w:sz="4" w:space="0"/>
              <w:bottom w:val="single" w:color="auto" w:sz="4" w:space="0"/>
              <w:right w:val="single" w:color="auto" w:sz="4" w:space="0"/>
            </w:tcBorders>
            <w:shd w:val="clear" w:color="auto" w:fill="E0E0E0"/>
          </w:tcPr>
          <w:p>
            <w:pPr>
              <w:pStyle w:val="94"/>
            </w:pPr>
            <w:r>
              <w:t xml:space="preserve">Description of change </w:t>
            </w:r>
          </w:p>
        </w:tc>
        <w:tc>
          <w:tcPr>
            <w:tcW w:w="1415" w:type="dxa"/>
            <w:tcBorders>
              <w:top w:val="single" w:color="auto" w:sz="4" w:space="0"/>
              <w:left w:val="single" w:color="auto" w:sz="4" w:space="0"/>
              <w:bottom w:val="single" w:color="auto" w:sz="4" w:space="0"/>
              <w:right w:val="single" w:color="auto" w:sz="4" w:space="0"/>
            </w:tcBorders>
            <w:shd w:val="clear" w:color="auto" w:fill="E0E0E0"/>
          </w:tcPr>
          <w:p>
            <w:pPr>
              <w:pStyle w:val="94"/>
            </w:pPr>
            <w:r>
              <w:t>Target completion plenary#</w:t>
            </w:r>
          </w:p>
        </w:tc>
        <w:tc>
          <w:tcPr>
            <w:tcW w:w="2102" w:type="dxa"/>
            <w:tcBorders>
              <w:top w:val="single" w:color="auto" w:sz="4" w:space="0"/>
              <w:left w:val="single" w:color="auto" w:sz="4" w:space="0"/>
              <w:bottom w:val="single" w:color="auto" w:sz="4" w:space="0"/>
              <w:right w:val="single" w:color="auto" w:sz="4" w:space="0"/>
            </w:tcBorders>
            <w:shd w:val="clear" w:color="auto" w:fill="E0E0E0"/>
          </w:tcPr>
          <w:p>
            <w:pPr>
              <w:pStyle w:val="94"/>
            </w:pPr>
            <w:r>
              <w:t>Remarks</w:t>
            </w:r>
          </w:p>
        </w:tc>
      </w:tr>
      <w:tr>
        <w:tblPrEx>
          <w:tblCellMar>
            <w:top w:w="0" w:type="dxa"/>
            <w:left w:w="108" w:type="dxa"/>
            <w:bottom w:w="0" w:type="dxa"/>
            <w:right w:w="108" w:type="dxa"/>
          </w:tblCellMar>
        </w:tblPrEx>
        <w:trPr>
          <w:cantSplit/>
          <w:trHeight w:val="451"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28.100</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 xml:space="preserve">Add use cases, enhanced requirements, and solutions to support autonomy capabilities and evaluation for autonomous network levels </w:t>
            </w:r>
          </w:p>
        </w:tc>
        <w:tc>
          <w:tcPr>
            <w:tcW w:w="1415" w:type="dxa"/>
            <w:tcBorders>
              <w:top w:val="single" w:color="auto" w:sz="4" w:space="0"/>
              <w:left w:val="single" w:color="auto" w:sz="4" w:space="0"/>
              <w:bottom w:val="single" w:color="auto" w:sz="4" w:space="0"/>
              <w:right w:val="single" w:color="auto" w:sz="4" w:space="0"/>
            </w:tcBorders>
          </w:tcPr>
          <w:p>
            <w:pPr>
              <w:pStyle w:val="127"/>
              <w:spacing w:after="0"/>
              <w:rPr>
                <w:i w:val="0"/>
                <w:iCs/>
              </w:rPr>
            </w:pPr>
            <w:r>
              <w:rPr>
                <w:rFonts w:hint="eastAsia" w:ascii="Arial" w:hAnsi="Arial" w:eastAsia="宋体"/>
                <w:i w:val="0"/>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127"/>
              <w:spacing w:after="0"/>
              <w:rPr>
                <w:i w:val="0"/>
                <w:iCs/>
              </w:rPr>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28.312</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intent driven management</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28.104</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Update enhancements on management data analytics</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28.105</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enhancements on AI/ML management</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28.535</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service assurance</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28.313</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management of SON</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bl>
    <w:p/>
    <w:p>
      <w:pPr>
        <w:pStyle w:val="3"/>
      </w:pPr>
      <w:r>
        <w:t>6</w:t>
      </w:r>
      <w:r>
        <w:tab/>
      </w:r>
      <w:r>
        <w:t>Work item Rapporteur(s)</w:t>
      </w:r>
    </w:p>
    <w:p>
      <w:pPr>
        <w:ind w:right="-99"/>
        <w:rPr>
          <w:iCs/>
        </w:rPr>
      </w:pPr>
      <w:r>
        <w:rPr>
          <w:rFonts w:hint="eastAsia"/>
          <w:iCs/>
        </w:rPr>
        <w:t>Cao</w:t>
      </w:r>
      <w:r>
        <w:rPr>
          <w:iCs/>
        </w:rPr>
        <w:t xml:space="preserve"> </w:t>
      </w:r>
      <w:r>
        <w:rPr>
          <w:rFonts w:hint="eastAsia"/>
          <w:iCs/>
        </w:rPr>
        <w:t xml:space="preserve">Xi, China Mobile, </w:t>
      </w:r>
      <w:r>
        <w:fldChar w:fldCharType="begin"/>
      </w:r>
      <w:r>
        <w:instrText xml:space="preserve"> HYPERLINK "mailto:caoxi@chinamobile.com" </w:instrText>
      </w:r>
      <w:r>
        <w:fldChar w:fldCharType="separate"/>
      </w:r>
      <w:r>
        <w:rPr>
          <w:rFonts w:hint="eastAsia"/>
          <w:iCs/>
        </w:rPr>
        <w:t>caoxi@chinamobile.com</w:t>
      </w:r>
      <w:r>
        <w:rPr>
          <w:rFonts w:hint="eastAsia"/>
          <w:iCs/>
        </w:rPr>
        <w:fldChar w:fldCharType="end"/>
      </w:r>
      <w:r>
        <w:rPr>
          <w:rFonts w:hint="eastAsia" w:eastAsia="宋体"/>
          <w:iCs/>
          <w:lang w:val="en-US" w:eastAsia="zh-CN"/>
        </w:rPr>
        <w:t>,</w:t>
      </w:r>
      <w:r>
        <w:rPr>
          <w:iCs/>
        </w:rPr>
        <w:t xml:space="preserve"> </w:t>
      </w:r>
      <w:r>
        <w:t xml:space="preserve">primary </w:t>
      </w:r>
      <w:r>
        <w:rPr>
          <w:rFonts w:hint="eastAsia" w:eastAsia="宋体"/>
          <w:lang w:val="en-US" w:eastAsia="zh-CN"/>
        </w:rPr>
        <w:t>r</w:t>
      </w:r>
      <w:r>
        <w:t>apporteur</w:t>
      </w:r>
      <w:r>
        <w:rPr>
          <w:rFonts w:hint="eastAsia" w:eastAsia="宋体"/>
          <w:lang w:val="en-US" w:eastAsia="zh-CN"/>
        </w:rPr>
        <w:t xml:space="preserve">, </w:t>
      </w:r>
      <w:r>
        <w:rPr>
          <w:iCs/>
        </w:rPr>
        <w:t>responsible for objective 1),</w:t>
      </w:r>
      <w:r>
        <w:rPr>
          <w:rFonts w:hint="eastAsia" w:eastAsia="宋体"/>
          <w:iCs/>
          <w:lang w:val="en-US" w:eastAsia="zh-CN"/>
        </w:rPr>
        <w:t xml:space="preserve"> 2</w:t>
      </w:r>
      <w:r>
        <w:rPr>
          <w:iCs/>
        </w:rPr>
        <w:t>).</w:t>
      </w:r>
    </w:p>
    <w:p>
      <w:pPr>
        <w:pStyle w:val="127"/>
        <w:rPr>
          <w:i w:val="0"/>
          <w:iCs/>
        </w:rPr>
      </w:pPr>
      <w:r>
        <w:rPr>
          <w:rFonts w:hint="eastAsia"/>
          <w:i w:val="0"/>
          <w:iCs/>
        </w:rPr>
        <w:t>X</w:t>
      </w:r>
      <w:r>
        <w:rPr>
          <w:i w:val="0"/>
          <w:iCs/>
        </w:rPr>
        <w:t xml:space="preserve">u Ruiyue, Huawei,  </w:t>
      </w:r>
      <w:r>
        <w:fldChar w:fldCharType="begin"/>
      </w:r>
      <w:r>
        <w:instrText xml:space="preserve"> HYPERLINK "mailto:xuruiyue@huawei.com" </w:instrText>
      </w:r>
      <w:r>
        <w:fldChar w:fldCharType="separate"/>
      </w:r>
      <w:r>
        <w:rPr>
          <w:i w:val="0"/>
          <w:iCs/>
        </w:rPr>
        <w:t>xuruiyue@huawei.com</w:t>
      </w:r>
      <w:r>
        <w:rPr>
          <w:i w:val="0"/>
          <w:iCs/>
        </w:rPr>
        <w:fldChar w:fldCharType="end"/>
      </w:r>
      <w:r>
        <w:rPr>
          <w:rFonts w:hint="eastAsia" w:eastAsia="宋体"/>
          <w:i w:val="0"/>
          <w:iCs/>
          <w:lang w:val="en-US" w:eastAsia="zh-CN"/>
        </w:rPr>
        <w:t>, secondary rapporteur,</w:t>
      </w:r>
      <w:r>
        <w:rPr>
          <w:i w:val="0"/>
          <w:iCs/>
        </w:rPr>
        <w:t xml:space="preserve"> responsible for objective </w:t>
      </w:r>
      <w:r>
        <w:rPr>
          <w:rFonts w:hint="eastAsia" w:eastAsia="宋体"/>
          <w:i w:val="0"/>
          <w:iCs/>
          <w:lang w:val="en-US" w:eastAsia="zh-CN"/>
        </w:rPr>
        <w:t>3</w:t>
      </w:r>
      <w:r>
        <w:rPr>
          <w:i w:val="0"/>
          <w:iCs/>
        </w:rPr>
        <w:t>),</w:t>
      </w:r>
      <w:r>
        <w:rPr>
          <w:rFonts w:hint="eastAsia" w:eastAsia="宋体"/>
          <w:i w:val="0"/>
          <w:iCs/>
          <w:lang w:val="en-US" w:eastAsia="zh-CN"/>
        </w:rPr>
        <w:t xml:space="preserve"> </w:t>
      </w:r>
      <w:r>
        <w:rPr>
          <w:i w:val="0"/>
          <w:iCs/>
        </w:rPr>
        <w:t>4).</w:t>
      </w:r>
    </w:p>
    <w:p/>
    <w:p>
      <w:pPr>
        <w:pStyle w:val="3"/>
      </w:pPr>
      <w:r>
        <w:t>7</w:t>
      </w:r>
      <w:r>
        <w:tab/>
      </w:r>
      <w:r>
        <w:t>Work item leadership</w:t>
      </w:r>
    </w:p>
    <w:p>
      <w:pPr>
        <w:pStyle w:val="127"/>
        <w:rPr>
          <w:rFonts w:eastAsia="宋体"/>
          <w:i w:val="0"/>
          <w:iCs/>
          <w:lang w:val="en-US" w:eastAsia="zh-CN"/>
        </w:rPr>
      </w:pPr>
      <w:r>
        <w:rPr>
          <w:rFonts w:eastAsia="Calibri"/>
          <w:i w:val="0"/>
          <w:iCs/>
          <w:lang w:val="en-US"/>
        </w:rPr>
        <w:t>SA WG5</w:t>
      </w:r>
      <w:r>
        <w:rPr>
          <w:rFonts w:hint="eastAsia" w:eastAsia="宋体"/>
          <w:i w:val="0"/>
          <w:iCs/>
          <w:lang w:val="en-US" w:eastAsia="zh-CN"/>
        </w:rPr>
        <w:t>.</w:t>
      </w:r>
    </w:p>
    <w:p/>
    <w:p>
      <w:pPr>
        <w:pStyle w:val="3"/>
      </w:pPr>
      <w:r>
        <w:t>8</w:t>
      </w:r>
      <w:r>
        <w:tab/>
      </w:r>
      <w:r>
        <w:t>Aspects that involve other WGs</w:t>
      </w:r>
    </w:p>
    <w:p>
      <w:pPr>
        <w:pStyle w:val="127"/>
        <w:rPr>
          <w:i w:val="0"/>
          <w:iCs/>
        </w:rPr>
      </w:pPr>
      <w:r>
        <w:rPr>
          <w:i w:val="0"/>
          <w:iCs/>
        </w:rPr>
        <w:t>Co-ordination with SA2, RAN3 and ETSI ZSM where appropriate.</w:t>
      </w:r>
    </w:p>
    <w:p/>
    <w:p>
      <w:pPr>
        <w:pStyle w:val="3"/>
      </w:pPr>
      <w:r>
        <w:t>9</w:t>
      </w:r>
      <w:r>
        <w:tab/>
      </w:r>
      <w:r>
        <w:t>Supporting Individual Members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9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rFonts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92"/>
              <w:rPr>
                <w:lang w:val="en-US" w:eastAsia="zh-CN"/>
              </w:rPr>
            </w:pPr>
            <w:r>
              <w:rPr>
                <w:lang w:eastAsia="zh-CN"/>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92"/>
              <w:rPr>
                <w:lang w:val="en-US" w:eastAsia="zh-CN"/>
              </w:rPr>
            </w:pPr>
            <w:r>
              <w:rPr>
                <w:rFonts w:hint="eastAsia"/>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92"/>
              <w:rPr>
                <w:lang w:val="en-US" w:eastAsia="zh-CN"/>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92"/>
              <w:rPr>
                <w:lang w:val="en-US" w:eastAsia="zh-CN"/>
              </w:rPr>
            </w:pPr>
            <w:r>
              <w:rPr>
                <w:rFonts w:hint="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pPr>
              <w:pStyle w:val="92"/>
              <w:rPr>
                <w:rFonts w:ascii="Arial" w:hAnsi="Arial" w:eastAsia="Times New Roman" w:cs="Times New Roman"/>
                <w:color w:val="000000"/>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pPr>
              <w:pStyle w:val="92"/>
              <w:rPr>
                <w:rFonts w:ascii="Arial" w:hAnsi="Arial" w:eastAsia="Times New Roman" w:cs="Times New Roman"/>
                <w:color w:val="000000"/>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249B4"/>
    <w:rsid w:val="00240DCD"/>
    <w:rsid w:val="0024786B"/>
    <w:rsid w:val="00251D80"/>
    <w:rsid w:val="00254FB5"/>
    <w:rsid w:val="002640E5"/>
    <w:rsid w:val="0026436F"/>
    <w:rsid w:val="0026606E"/>
    <w:rsid w:val="00276403"/>
    <w:rsid w:val="00283472"/>
    <w:rsid w:val="002944FD"/>
    <w:rsid w:val="002C1C50"/>
    <w:rsid w:val="002D3B9D"/>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0F95"/>
    <w:rsid w:val="00AB58BF"/>
    <w:rsid w:val="00AC6AE6"/>
    <w:rsid w:val="00AD0751"/>
    <w:rsid w:val="00AD77C4"/>
    <w:rsid w:val="00AE25BF"/>
    <w:rsid w:val="00AF0C13"/>
    <w:rsid w:val="00B03AF5"/>
    <w:rsid w:val="00B03C01"/>
    <w:rsid w:val="00B078D6"/>
    <w:rsid w:val="00B1248D"/>
    <w:rsid w:val="00B138F1"/>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28F0"/>
    <w:rsid w:val="00CB4236"/>
    <w:rsid w:val="00CC72A4"/>
    <w:rsid w:val="00CC74B6"/>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ED35256"/>
    <w:rsid w:val="1037475E"/>
    <w:rsid w:val="16F85C3B"/>
    <w:rsid w:val="19C772FD"/>
    <w:rsid w:val="1AC861CC"/>
    <w:rsid w:val="287F1E4F"/>
    <w:rsid w:val="2B9D51EB"/>
    <w:rsid w:val="53F427DA"/>
    <w:rsid w:val="567E79CE"/>
    <w:rsid w:val="62944E5E"/>
    <w:rsid w:val="62DE1DA1"/>
    <w:rsid w:val="71184DC4"/>
    <w:rsid w:val="73D24017"/>
    <w:rsid w:val="75B8234D"/>
    <w:rsid w:val="7E9F0E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2835" w:hanging="2835"/>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color w:val="000000"/>
      <w:lang w:val="en-GB" w:eastAsia="ja-JP"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5"/>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4"/>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3"/>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29"/>
    <w:qFormat/>
    <w:uiPriority w:val="0"/>
    <w:pPr>
      <w:tabs>
        <w:tab w:val="left" w:pos="1418"/>
        <w:tab w:val="left" w:pos="4678"/>
        <w:tab w:val="left" w:pos="5954"/>
        <w:tab w:val="left" w:pos="7088"/>
      </w:tabs>
      <w:spacing w:after="240"/>
      <w:jc w:val="both"/>
    </w:pPr>
    <w:rPr>
      <w:rFonts w:ascii="Arial" w:hAnsi="Arial"/>
      <w:color w:val="auto"/>
      <w:lang w:eastAsia="en-GB"/>
    </w:rPr>
  </w:style>
  <w:style w:type="paragraph" w:styleId="36">
    <w:name w:val="index 6"/>
    <w:basedOn w:val="1"/>
    <w:next w:val="1"/>
    <w:qFormat/>
    <w:uiPriority w:val="0"/>
    <w:pPr>
      <w:spacing w:after="0"/>
      <w:ind w:left="1200" w:hanging="200"/>
    </w:pPr>
  </w:style>
  <w:style w:type="paragraph" w:styleId="37">
    <w:name w:val="Salutation"/>
    <w:basedOn w:val="1"/>
    <w:next w:val="1"/>
    <w:link w:val="159"/>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28"/>
    <w:qFormat/>
    <w:uiPriority w:val="0"/>
    <w:pPr>
      <w:widowControl w:val="0"/>
    </w:pPr>
    <w:rPr>
      <w:i/>
    </w:r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7"/>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6"/>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semiHidden/>
    <w:qFormat/>
    <w:uiPriority w:val="0"/>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2"/>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5"/>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link w:val="16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0"/>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1"/>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6"/>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semiHidden/>
    <w:qFormat/>
    <w:uiPriority w:val="0"/>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3"/>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8"/>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2"/>
    <w:qFormat/>
    <w:uiPriority w:val="0"/>
    <w:pPr>
      <w:spacing w:after="0"/>
      <w:contextualSpacing/>
    </w:pPr>
    <w:rPr>
      <w:rFonts w:asciiTheme="majorHAnsi" w:hAnsiTheme="majorHAnsi" w:eastAsiaTheme="majorEastAsia" w:cstheme="majorBidi"/>
      <w:color w:val="auto"/>
      <w:spacing w:val="-10"/>
      <w:kern w:val="28"/>
      <w:sz w:val="56"/>
      <w:szCs w:val="56"/>
    </w:rPr>
  </w:style>
  <w:style w:type="paragraph" w:styleId="86">
    <w:name w:val="annotation subject"/>
    <w:basedOn w:val="35"/>
    <w:next w:val="35"/>
    <w:link w:val="141"/>
    <w:qFormat/>
    <w:uiPriority w:val="0"/>
    <w:pPr>
      <w:tabs>
        <w:tab w:val="clear" w:pos="1418"/>
        <w:tab w:val="clear" w:pos="4678"/>
        <w:tab w:val="clear" w:pos="5954"/>
        <w:tab w:val="clear" w:pos="7088"/>
      </w:tabs>
      <w:spacing w:after="180"/>
      <w:jc w:val="left"/>
    </w:pPr>
    <w:rPr>
      <w:rFonts w:ascii="Times New Roman" w:hAnsi="Times New Roman"/>
      <w:b/>
      <w:bCs/>
      <w:color w:val="000000"/>
      <w:lang w:eastAsia="ja-JP"/>
    </w:rPr>
  </w:style>
  <w:style w:type="paragraph" w:styleId="87">
    <w:name w:val="Body Text First Indent"/>
    <w:basedOn w:val="41"/>
    <w:link w:val="135"/>
    <w:qFormat/>
    <w:uiPriority w:val="0"/>
    <w:pPr>
      <w:widowControl/>
      <w:ind w:firstLine="360"/>
    </w:pPr>
    <w:rPr>
      <w:i w:val="0"/>
    </w:rPr>
  </w:style>
  <w:style w:type="paragraph" w:styleId="88">
    <w:name w:val="Body Text First Indent 2"/>
    <w:basedOn w:val="42"/>
    <w:link w:val="137"/>
    <w:qFormat/>
    <w:uiPriority w:val="0"/>
    <w:pPr>
      <w:spacing w:after="180"/>
      <w:ind w:left="360" w:firstLine="360"/>
    </w:pPr>
  </w:style>
  <w:style w:type="character" w:styleId="91">
    <w:name w:val="Hyperlink"/>
    <w:basedOn w:val="90"/>
    <w:qFormat/>
    <w:uiPriority w:val="0"/>
    <w:rPr>
      <w:color w:val="0000FF"/>
      <w:u w:val="single"/>
    </w:rPr>
  </w:style>
  <w:style w:type="paragraph" w:customStyle="1" w:styleId="92">
    <w:name w:val="TAL"/>
    <w:basedOn w:val="1"/>
    <w:qFormat/>
    <w:uiPriority w:val="0"/>
    <w:pPr>
      <w:keepNext/>
      <w:keepLines/>
      <w:spacing w:after="0"/>
    </w:pPr>
    <w:rPr>
      <w:rFonts w:ascii="Arial" w:hAnsi="Arial"/>
      <w:sz w:val="18"/>
    </w:rPr>
  </w:style>
  <w:style w:type="paragraph" w:customStyle="1" w:styleId="93">
    <w:name w:val="Heading"/>
    <w:basedOn w:val="1"/>
    <w:qFormat/>
    <w:uiPriority w:val="0"/>
    <w:pPr>
      <w:widowControl w:val="0"/>
      <w:spacing w:after="120" w:line="240" w:lineRule="atLeast"/>
      <w:ind w:left="1260" w:hanging="551"/>
    </w:pPr>
    <w:rPr>
      <w:rFonts w:ascii="Arial" w:hAnsi="Arial"/>
      <w:b/>
      <w:sz w:val="22"/>
    </w:rPr>
  </w:style>
  <w:style w:type="paragraph" w:customStyle="1" w:styleId="94">
    <w:name w:val="TAH"/>
    <w:basedOn w:val="95"/>
    <w:qFormat/>
    <w:uiPriority w:val="0"/>
    <w:rPr>
      <w:b/>
    </w:rPr>
  </w:style>
  <w:style w:type="paragraph" w:customStyle="1" w:styleId="95">
    <w:name w:val="TAC"/>
    <w:basedOn w:val="92"/>
    <w:qFormat/>
    <w:uiPriority w:val="0"/>
    <w:pPr>
      <w:jc w:val="center"/>
    </w:pPr>
  </w:style>
  <w:style w:type="paragraph" w:customStyle="1" w:styleId="96">
    <w:name w:val="HE"/>
    <w:basedOn w:val="1"/>
    <w:qFormat/>
    <w:uiPriority w:val="0"/>
    <w:rPr>
      <w:rFonts w:ascii="Arial" w:hAnsi="Arial"/>
      <w:b/>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T"/>
    <w:basedOn w:val="3"/>
    <w:next w:val="1"/>
    <w:qFormat/>
    <w:uiPriority w:val="0"/>
    <w:pPr>
      <w:outlineLvl w:val="9"/>
    </w:pPr>
  </w:style>
  <w:style w:type="paragraph" w:customStyle="1" w:styleId="100">
    <w:name w:val="TF"/>
    <w:basedOn w:val="101"/>
    <w:qFormat/>
    <w:uiPriority w:val="0"/>
    <w:pPr>
      <w:keepNext w:val="0"/>
      <w:spacing w:before="0" w:after="240"/>
    </w:pPr>
  </w:style>
  <w:style w:type="paragraph" w:customStyle="1" w:styleId="101">
    <w:name w:val="TH"/>
    <w:basedOn w:val="1"/>
    <w:link w:val="126"/>
    <w:qFormat/>
    <w:uiPriority w:val="0"/>
    <w:pPr>
      <w:keepNext/>
      <w:keepLines/>
      <w:spacing w:before="60"/>
      <w:jc w:val="center"/>
    </w:pPr>
    <w:rPr>
      <w:rFonts w:ascii="Arial" w:hAnsi="Arial"/>
      <w:b/>
    </w:rPr>
  </w:style>
  <w:style w:type="paragraph" w:customStyle="1" w:styleId="102">
    <w:name w:val="NO"/>
    <w:basedOn w:val="1"/>
    <w:qFormat/>
    <w:uiPriority w:val="0"/>
    <w:pPr>
      <w:keepLines/>
      <w:ind w:left="1135" w:hanging="851"/>
    </w:pPr>
  </w:style>
  <w:style w:type="paragraph" w:customStyle="1" w:styleId="103">
    <w:name w:val="EX"/>
    <w:basedOn w:val="1"/>
    <w:qFormat/>
    <w:uiPriority w:val="0"/>
    <w:pPr>
      <w:keepLines/>
      <w:ind w:left="1702" w:hanging="1418"/>
    </w:pPr>
  </w:style>
  <w:style w:type="paragraph" w:customStyle="1" w:styleId="104">
    <w:name w:val="FP"/>
    <w:basedOn w:val="1"/>
    <w:qFormat/>
    <w:uiPriority w:val="0"/>
    <w:pPr>
      <w:spacing w:after="0"/>
    </w:p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2"/>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111">
    <w:name w:val="TAR"/>
    <w:basedOn w:val="92"/>
    <w:qFormat/>
    <w:uiPriority w:val="0"/>
    <w:pPr>
      <w:jc w:val="right"/>
    </w:pPr>
  </w:style>
  <w:style w:type="paragraph" w:customStyle="1" w:styleId="112">
    <w:name w:val="TAN"/>
    <w:basedOn w:val="92"/>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1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0">
    <w:name w:val="B1"/>
    <w:basedOn w:val="1"/>
    <w:qFormat/>
    <w:uiPriority w:val="0"/>
    <w:pPr>
      <w:ind w:left="568" w:hanging="284"/>
    </w:p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character" w:customStyle="1" w:styleId="126">
    <w:name w:val="TH Char"/>
    <w:link w:val="101"/>
    <w:qFormat/>
    <w:uiPriority w:val="0"/>
    <w:rPr>
      <w:rFonts w:ascii="Arial" w:hAnsi="Arial"/>
      <w:b/>
      <w:color w:val="000000"/>
      <w:lang w:eastAsia="ja-JP"/>
    </w:rPr>
  </w:style>
  <w:style w:type="paragraph" w:customStyle="1" w:styleId="127">
    <w:name w:val="Guidance"/>
    <w:basedOn w:val="1"/>
    <w:qFormat/>
    <w:uiPriority w:val="0"/>
    <w:rPr>
      <w:i/>
    </w:rPr>
  </w:style>
  <w:style w:type="character" w:customStyle="1" w:styleId="128">
    <w:name w:val="正文文本 字符"/>
    <w:basedOn w:val="90"/>
    <w:link w:val="41"/>
    <w:qFormat/>
    <w:uiPriority w:val="0"/>
    <w:rPr>
      <w:i/>
      <w:color w:val="000000"/>
      <w:lang w:eastAsia="ja-JP"/>
    </w:rPr>
  </w:style>
  <w:style w:type="character" w:customStyle="1" w:styleId="129">
    <w:name w:val="批注文字 字符"/>
    <w:basedOn w:val="90"/>
    <w:link w:val="35"/>
    <w:qFormat/>
    <w:uiPriority w:val="0"/>
    <w:rPr>
      <w:rFonts w:ascii="Arial" w:hAnsi="Arial"/>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character" w:customStyle="1" w:styleId="131">
    <w:name w:val="批注框文本 字符"/>
    <w:basedOn w:val="90"/>
    <w:link w:val="59"/>
    <w:qFormat/>
    <w:uiPriority w:val="0"/>
    <w:rPr>
      <w:rFonts w:ascii="Segoe UI" w:hAnsi="Segoe UI" w:cs="Segoe UI"/>
      <w:color w:val="000000"/>
      <w:sz w:val="18"/>
      <w:szCs w:val="18"/>
      <w:lang w:eastAsia="ja-JP"/>
    </w:rPr>
  </w:style>
  <w:style w:type="paragraph" w:customStyle="1" w:styleId="132">
    <w:name w:val="书目1"/>
    <w:basedOn w:val="1"/>
    <w:next w:val="1"/>
    <w:semiHidden/>
    <w:unhideWhenUsed/>
    <w:qFormat/>
    <w:uiPriority w:val="37"/>
  </w:style>
  <w:style w:type="character" w:customStyle="1" w:styleId="133">
    <w:name w:val="正文文本 2 字符"/>
    <w:basedOn w:val="90"/>
    <w:link w:val="77"/>
    <w:qFormat/>
    <w:uiPriority w:val="0"/>
    <w:rPr>
      <w:color w:val="000000"/>
      <w:lang w:eastAsia="ja-JP"/>
    </w:rPr>
  </w:style>
  <w:style w:type="character" w:customStyle="1" w:styleId="134">
    <w:name w:val="正文文本 3 字符"/>
    <w:basedOn w:val="90"/>
    <w:link w:val="38"/>
    <w:qFormat/>
    <w:uiPriority w:val="0"/>
    <w:rPr>
      <w:color w:val="000000"/>
      <w:sz w:val="16"/>
      <w:szCs w:val="16"/>
      <w:lang w:eastAsia="ja-JP"/>
    </w:rPr>
  </w:style>
  <w:style w:type="character" w:customStyle="1" w:styleId="135">
    <w:name w:val="正文文本首行缩进 字符"/>
    <w:basedOn w:val="128"/>
    <w:link w:val="87"/>
    <w:qFormat/>
    <w:uiPriority w:val="0"/>
    <w:rPr>
      <w:i w:val="0"/>
      <w:color w:val="000000"/>
      <w:lang w:eastAsia="ja-JP"/>
    </w:rPr>
  </w:style>
  <w:style w:type="character" w:customStyle="1" w:styleId="136">
    <w:name w:val="正文文本缩进 字符"/>
    <w:basedOn w:val="90"/>
    <w:link w:val="42"/>
    <w:qFormat/>
    <w:uiPriority w:val="0"/>
    <w:rPr>
      <w:color w:val="000000"/>
      <w:lang w:eastAsia="ja-JP"/>
    </w:rPr>
  </w:style>
  <w:style w:type="character" w:customStyle="1" w:styleId="137">
    <w:name w:val="正文文本首行缩进 2 字符"/>
    <w:basedOn w:val="136"/>
    <w:link w:val="88"/>
    <w:qFormat/>
    <w:uiPriority w:val="0"/>
    <w:rPr>
      <w:color w:val="000000"/>
      <w:lang w:eastAsia="ja-JP"/>
    </w:rPr>
  </w:style>
  <w:style w:type="character" w:customStyle="1" w:styleId="138">
    <w:name w:val="正文文本缩进 2 字符"/>
    <w:basedOn w:val="90"/>
    <w:link w:val="56"/>
    <w:qFormat/>
    <w:uiPriority w:val="0"/>
    <w:rPr>
      <w:color w:val="000000"/>
      <w:lang w:eastAsia="ja-JP"/>
    </w:rPr>
  </w:style>
  <w:style w:type="character" w:customStyle="1" w:styleId="139">
    <w:name w:val="正文文本缩进 3 字符"/>
    <w:basedOn w:val="90"/>
    <w:link w:val="72"/>
    <w:qFormat/>
    <w:uiPriority w:val="0"/>
    <w:rPr>
      <w:color w:val="000000"/>
      <w:sz w:val="16"/>
      <w:szCs w:val="16"/>
      <w:lang w:eastAsia="ja-JP"/>
    </w:rPr>
  </w:style>
  <w:style w:type="character" w:customStyle="1" w:styleId="140">
    <w:name w:val="结束语 字符"/>
    <w:basedOn w:val="90"/>
    <w:link w:val="39"/>
    <w:qFormat/>
    <w:uiPriority w:val="0"/>
    <w:rPr>
      <w:color w:val="000000"/>
      <w:lang w:eastAsia="ja-JP"/>
    </w:rPr>
  </w:style>
  <w:style w:type="character" w:customStyle="1" w:styleId="141">
    <w:name w:val="批注主题 字符"/>
    <w:basedOn w:val="129"/>
    <w:link w:val="86"/>
    <w:qFormat/>
    <w:uiPriority w:val="0"/>
    <w:rPr>
      <w:rFonts w:ascii="Arial" w:hAnsi="Arial"/>
      <w:b/>
      <w:bCs/>
      <w:color w:val="000000"/>
      <w:lang w:eastAsia="ja-JP"/>
    </w:rPr>
  </w:style>
  <w:style w:type="character" w:customStyle="1" w:styleId="142">
    <w:name w:val="日期 字符"/>
    <w:basedOn w:val="90"/>
    <w:link w:val="55"/>
    <w:qFormat/>
    <w:uiPriority w:val="0"/>
    <w:rPr>
      <w:color w:val="000000"/>
      <w:lang w:eastAsia="ja-JP"/>
    </w:rPr>
  </w:style>
  <w:style w:type="character" w:customStyle="1" w:styleId="143">
    <w:name w:val="文档结构图 字符"/>
    <w:basedOn w:val="90"/>
    <w:link w:val="33"/>
    <w:qFormat/>
    <w:uiPriority w:val="0"/>
    <w:rPr>
      <w:rFonts w:ascii="Segoe UI" w:hAnsi="Segoe UI" w:cs="Segoe UI"/>
      <w:color w:val="000000"/>
      <w:sz w:val="16"/>
      <w:szCs w:val="16"/>
      <w:lang w:eastAsia="ja-JP"/>
    </w:rPr>
  </w:style>
  <w:style w:type="character" w:customStyle="1" w:styleId="144">
    <w:name w:val="电子邮件签名 字符"/>
    <w:basedOn w:val="90"/>
    <w:link w:val="26"/>
    <w:qFormat/>
    <w:uiPriority w:val="0"/>
    <w:rPr>
      <w:color w:val="000000"/>
      <w:lang w:eastAsia="ja-JP"/>
    </w:rPr>
  </w:style>
  <w:style w:type="character" w:customStyle="1" w:styleId="145">
    <w:name w:val="尾注文本 字符"/>
    <w:basedOn w:val="90"/>
    <w:link w:val="57"/>
    <w:qFormat/>
    <w:uiPriority w:val="0"/>
    <w:rPr>
      <w:color w:val="000000"/>
      <w:lang w:eastAsia="ja-JP"/>
    </w:rPr>
  </w:style>
  <w:style w:type="character" w:customStyle="1" w:styleId="146">
    <w:name w:val="脚注文本 字符"/>
    <w:basedOn w:val="90"/>
    <w:link w:val="70"/>
    <w:qFormat/>
    <w:uiPriority w:val="0"/>
    <w:rPr>
      <w:color w:val="000000"/>
      <w:lang w:eastAsia="ja-JP"/>
    </w:rPr>
  </w:style>
  <w:style w:type="character" w:customStyle="1" w:styleId="147">
    <w:name w:val="HTML 地址 字符"/>
    <w:basedOn w:val="90"/>
    <w:link w:val="48"/>
    <w:qFormat/>
    <w:uiPriority w:val="0"/>
    <w:rPr>
      <w:i/>
      <w:iCs/>
      <w:color w:val="000000"/>
      <w:lang w:eastAsia="ja-JP"/>
    </w:rPr>
  </w:style>
  <w:style w:type="character" w:customStyle="1" w:styleId="148">
    <w:name w:val="HTML 预设格式 字符"/>
    <w:basedOn w:val="90"/>
    <w:link w:val="81"/>
    <w:qFormat/>
    <w:uiPriority w:val="0"/>
    <w:rPr>
      <w:rFonts w:ascii="Consolas" w:hAnsi="Consolas"/>
      <w:color w:val="000000"/>
      <w:lang w:eastAsia="ja-JP"/>
    </w:rPr>
  </w:style>
  <w:style w:type="paragraph" w:styleId="149">
    <w:name w:val="Intense Quote"/>
    <w:basedOn w:val="1"/>
    <w:next w:val="1"/>
    <w:link w:val="150"/>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0">
    <w:name w:val="明显引用 字符"/>
    <w:basedOn w:val="90"/>
    <w:link w:val="149"/>
    <w:qFormat/>
    <w:uiPriority w:val="30"/>
    <w:rPr>
      <w:i/>
      <w:iCs/>
      <w:color w:val="4472C4" w:themeColor="accent1"/>
      <w:lang w:eastAsia="ja-JP"/>
      <w14:textFill>
        <w14:solidFill>
          <w14:schemeClr w14:val="accent1"/>
        </w14:solidFill>
      </w14:textFill>
    </w:rPr>
  </w:style>
  <w:style w:type="paragraph" w:styleId="151">
    <w:name w:val="List Paragraph"/>
    <w:basedOn w:val="1"/>
    <w:qFormat/>
    <w:uiPriority w:val="34"/>
    <w:pPr>
      <w:ind w:left="720"/>
      <w:contextualSpacing/>
    </w:pPr>
  </w:style>
  <w:style w:type="character" w:customStyle="1" w:styleId="152">
    <w:name w:val="宏文本 字符"/>
    <w:basedOn w:val="90"/>
    <w:link w:val="2"/>
    <w:qFormat/>
    <w:uiPriority w:val="0"/>
    <w:rPr>
      <w:rFonts w:ascii="Consolas" w:hAnsi="Consolas"/>
      <w:color w:val="000000"/>
      <w:lang w:eastAsia="ja-JP"/>
    </w:rPr>
  </w:style>
  <w:style w:type="character" w:customStyle="1" w:styleId="153">
    <w:name w:val="信息标题 字符"/>
    <w:basedOn w:val="90"/>
    <w:link w:val="80"/>
    <w:qFormat/>
    <w:uiPriority w:val="0"/>
    <w:rPr>
      <w:rFonts w:asciiTheme="majorHAnsi" w:hAnsiTheme="majorHAnsi" w:eastAsiaTheme="majorEastAsia" w:cstheme="majorBidi"/>
      <w:color w:val="000000"/>
      <w:sz w:val="24"/>
      <w:szCs w:val="24"/>
      <w:shd w:val="pct20" w:color="auto" w:fill="auto"/>
      <w:lang w:eastAsia="ja-JP"/>
    </w:rPr>
  </w:style>
  <w:style w:type="paragraph" w:styleId="154">
    <w:name w:val="No Spacing"/>
    <w:qFormat/>
    <w:uiPriority w:val="1"/>
    <w:pPr>
      <w:overflowPunct w:val="0"/>
      <w:autoSpaceDE w:val="0"/>
      <w:autoSpaceDN w:val="0"/>
      <w:adjustRightInd w:val="0"/>
      <w:textAlignment w:val="baseline"/>
    </w:pPr>
    <w:rPr>
      <w:rFonts w:ascii="Times New Roman" w:hAnsi="Times New Roman" w:eastAsia="Times New Roman" w:cs="Times New Roman"/>
      <w:color w:val="000000"/>
      <w:lang w:val="en-GB" w:eastAsia="ja-JP" w:bidi="ar-SA"/>
    </w:rPr>
  </w:style>
  <w:style w:type="character" w:customStyle="1" w:styleId="155">
    <w:name w:val="注释标题 字符"/>
    <w:basedOn w:val="90"/>
    <w:link w:val="23"/>
    <w:qFormat/>
    <w:uiPriority w:val="0"/>
    <w:rPr>
      <w:color w:val="000000"/>
      <w:lang w:eastAsia="ja-JP"/>
    </w:rPr>
  </w:style>
  <w:style w:type="character" w:customStyle="1" w:styleId="156">
    <w:name w:val="纯文本 字符"/>
    <w:basedOn w:val="90"/>
    <w:link w:val="50"/>
    <w:qFormat/>
    <w:uiPriority w:val="0"/>
    <w:rPr>
      <w:rFonts w:ascii="Consolas" w:hAnsi="Consolas"/>
      <w:color w:val="000000"/>
      <w:sz w:val="21"/>
      <w:szCs w:val="21"/>
      <w:lang w:eastAsia="ja-JP"/>
    </w:rPr>
  </w:style>
  <w:style w:type="paragraph" w:styleId="157">
    <w:name w:val="Quote"/>
    <w:basedOn w:val="1"/>
    <w:next w:val="1"/>
    <w:link w:val="15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8">
    <w:name w:val="引用 字符"/>
    <w:basedOn w:val="90"/>
    <w:link w:val="157"/>
    <w:qFormat/>
    <w:uiPriority w:val="29"/>
    <w:rPr>
      <w:i/>
      <w:iCs/>
      <w:color w:val="404040" w:themeColor="text1" w:themeTint="BF"/>
      <w:lang w:eastAsia="ja-JP"/>
      <w14:textFill>
        <w14:solidFill>
          <w14:schemeClr w14:val="tx1">
            <w14:lumMod w14:val="75000"/>
            <w14:lumOff w14:val="25000"/>
          </w14:schemeClr>
        </w14:solidFill>
      </w14:textFill>
    </w:rPr>
  </w:style>
  <w:style w:type="character" w:customStyle="1" w:styleId="159">
    <w:name w:val="称呼 字符"/>
    <w:basedOn w:val="90"/>
    <w:link w:val="37"/>
    <w:qFormat/>
    <w:uiPriority w:val="0"/>
    <w:rPr>
      <w:color w:val="000000"/>
      <w:lang w:eastAsia="ja-JP"/>
    </w:rPr>
  </w:style>
  <w:style w:type="character" w:customStyle="1" w:styleId="160">
    <w:name w:val="签名 字符"/>
    <w:basedOn w:val="90"/>
    <w:link w:val="63"/>
    <w:qFormat/>
    <w:uiPriority w:val="0"/>
    <w:rPr>
      <w:color w:val="000000"/>
      <w:lang w:eastAsia="ja-JP"/>
    </w:rPr>
  </w:style>
  <w:style w:type="character" w:customStyle="1" w:styleId="161">
    <w:name w:val="副标题 字符"/>
    <w:basedOn w:val="90"/>
    <w:link w:val="67"/>
    <w:qFormat/>
    <w:uiPriority w:val="0"/>
    <w:rPr>
      <w:rFonts w:asciiTheme="minorHAnsi" w:hAnsiTheme="minorHAnsi" w:eastAsiaTheme="minorEastAsia" w:cstheme="minorBidi"/>
      <w:color w:val="595959" w:themeColor="text1" w:themeTint="A6"/>
      <w:spacing w:val="15"/>
      <w:sz w:val="22"/>
      <w:szCs w:val="22"/>
      <w:lang w:eastAsia="ja-JP"/>
      <w14:textFill>
        <w14:solidFill>
          <w14:schemeClr w14:val="tx1">
            <w14:lumMod w14:val="65000"/>
            <w14:lumOff w14:val="35000"/>
          </w14:schemeClr>
        </w14:solidFill>
      </w14:textFill>
    </w:rPr>
  </w:style>
  <w:style w:type="character" w:customStyle="1" w:styleId="162">
    <w:name w:val="标题 字符"/>
    <w:basedOn w:val="90"/>
    <w:link w:val="85"/>
    <w:qFormat/>
    <w:uiPriority w:val="0"/>
    <w:rPr>
      <w:rFonts w:asciiTheme="majorHAnsi" w:hAnsiTheme="majorHAnsi" w:eastAsiaTheme="majorEastAsia" w:cstheme="majorBidi"/>
      <w:spacing w:val="-10"/>
      <w:kern w:val="28"/>
      <w:sz w:val="56"/>
      <w:szCs w:val="56"/>
      <w:lang w:eastAsia="ja-JP"/>
    </w:rPr>
  </w:style>
  <w:style w:type="paragraph" w:customStyle="1" w:styleId="163">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4">
    <w:name w:val="页眉 字符"/>
    <w:basedOn w:val="90"/>
    <w:link w:val="61"/>
    <w:qFormat/>
    <w:uiPriority w:val="0"/>
    <w:rPr>
      <w:rFonts w:ascii="Arial" w:hAnsi="Arial"/>
      <w:b/>
      <w:sz w:val="18"/>
      <w:lang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EFB56CC0-34E4-4A4B-8FCD-DAF5BDBF7EA4}">
  <ds:schemaRefs/>
</ds:datastoreItem>
</file>

<file path=customXml/itemProps2.xml><?xml version="1.0" encoding="utf-8"?>
<ds:datastoreItem xmlns:ds="http://schemas.openxmlformats.org/officeDocument/2006/customXml" ds:itemID="{45150755-94B1-4AA1-BB54-579F38A5D053}">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1145</Words>
  <Characters>6531</Characters>
  <Lines>54</Lines>
  <Paragraphs>15</Paragraphs>
  <TotalTime>0</TotalTime>
  <ScaleCrop>false</ScaleCrop>
  <LinksUpToDate>false</LinksUpToDate>
  <CharactersWithSpaces>7661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2021-06-24T09:05:00Z</dcterms:created>
  <dc:creator>MCC/Alain Sultan</dc:creator>
  <cp:keywords>WID template</cp:keywords>
  <cp:lastModifiedBy>Cao Xi</cp:lastModifiedBy>
  <cp:lastPrinted>2000-02-29T11:31:00Z</cp:lastPrinted>
  <dcterms:modified xsi:type="dcterms:W3CDTF">2023-01-06T13:52:14Z</dcterms:modified>
  <dc:title>WID Template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2052-11.8.2.11716</vt:lpwstr>
  </property>
  <property fmtid="{D5CDD505-2E9C-101B-9397-08002B2CF9AE}" pid="13" name="ICV">
    <vt:lpwstr>47A4B34DEE444E73B83F9CCAAB98873B</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1672887445</vt:lpwstr>
  </property>
</Properties>
</file>